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1D08" w14:textId="2B8E928A" w:rsidR="003B364A" w:rsidRDefault="00192609" w:rsidP="001E77EC">
      <w:pPr>
        <w:ind w:left="993"/>
        <w:rPr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B6172" wp14:editId="6F5CA005">
                <wp:simplePos x="0" y="0"/>
                <wp:positionH relativeFrom="column">
                  <wp:posOffset>439420</wp:posOffset>
                </wp:positionH>
                <wp:positionV relativeFrom="paragraph">
                  <wp:posOffset>67310</wp:posOffset>
                </wp:positionV>
                <wp:extent cx="2306955" cy="996950"/>
                <wp:effectExtent l="0" t="0" r="0" b="444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55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971A52" w14:textId="4F73BFE0" w:rsidR="00625E5F" w:rsidRPr="00704FF4" w:rsidRDefault="00625E5F" w:rsidP="009434E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704FF4">
                              <w:rPr>
                                <w:rFonts w:cstheme="minorHAnsi"/>
                                <w:b/>
                              </w:rPr>
                              <w:t>Observatoire de l’environnement en Nouvelle-Calédonie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704FF4">
                              <w:rPr>
                                <w:rFonts w:cstheme="minorHAnsi"/>
                                <w:b/>
                              </w:rPr>
                              <w:t>- province Sud</w:t>
                            </w:r>
                          </w:p>
                          <w:p w14:paraId="36D9BAB8" w14:textId="77777777" w:rsidR="00625E5F" w:rsidRPr="00704FF4" w:rsidRDefault="00625E5F" w:rsidP="00402D1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704FF4">
                              <w:rPr>
                                <w:rFonts w:cstheme="minorHAnsi"/>
                                <w:sz w:val="18"/>
                              </w:rPr>
                              <w:t xml:space="preserve">11 rue Guynemer </w:t>
                            </w:r>
                          </w:p>
                          <w:p w14:paraId="59DCF324" w14:textId="77777777" w:rsidR="00625E5F" w:rsidRPr="00704FF4" w:rsidRDefault="00625E5F" w:rsidP="00402D1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704FF4">
                              <w:rPr>
                                <w:rFonts w:cstheme="minorHAnsi"/>
                                <w:sz w:val="18"/>
                              </w:rPr>
                              <w:t xml:space="preserve">98800 Nouméa </w:t>
                            </w:r>
                          </w:p>
                          <w:p w14:paraId="2595041E" w14:textId="43B11CB6" w:rsidR="00625E5F" w:rsidRDefault="00625E5F" w:rsidP="009434E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</w:rPr>
                              <w:t>(+687) 23 69 69</w:t>
                            </w:r>
                          </w:p>
                          <w:p w14:paraId="7CA74C7A" w14:textId="26B86F72" w:rsidR="00625E5F" w:rsidRPr="009434EE" w:rsidRDefault="00432396" w:rsidP="009434E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hyperlink r:id="rId9" w:history="1">
                              <w:r w:rsidR="00625E5F" w:rsidRPr="00FA26D0">
                                <w:rPr>
                                  <w:rStyle w:val="Lienhypertexte"/>
                                  <w:rFonts w:cstheme="minorHAnsi"/>
                                  <w:sz w:val="18"/>
                                </w:rPr>
                                <w:t>www.oeil.nc</w:t>
                              </w:r>
                            </w:hyperlink>
                            <w:r w:rsidR="00625E5F">
                              <w:rPr>
                                <w:rFonts w:cstheme="minorHAns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4.6pt;margin-top:5.3pt;width:181.65pt;height:8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" filled="f" stroked="f" strokeweight=".5pt">
                <v:textbox style="mso-fit-shape-to-text:t">
                  <w:txbxContent>
                    <w:p w14:paraId="63971A52" w14:textId="4F73BFE0" w:rsidR="00704FF4" w:rsidRPr="00704FF4" w:rsidRDefault="00704FF4" w:rsidP="009434EE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704FF4">
                        <w:rPr>
                          <w:rFonts w:cstheme="minorHAnsi"/>
                          <w:b/>
                        </w:rPr>
                        <w:t>Observatoire de l’environnement en Nouvelle-Calédonie</w:t>
                      </w:r>
                      <w:r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704FF4">
                        <w:rPr>
                          <w:rFonts w:cstheme="minorHAnsi"/>
                          <w:b/>
                        </w:rPr>
                        <w:t>- province Sud</w:t>
                      </w:r>
                    </w:p>
                    <w:p w14:paraId="36D9BAB8" w14:textId="77777777" w:rsidR="00704FF4" w:rsidRPr="00704FF4" w:rsidRDefault="00704FF4" w:rsidP="00402D1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18"/>
                        </w:rPr>
                      </w:pPr>
                      <w:r w:rsidRPr="00704FF4">
                        <w:rPr>
                          <w:rFonts w:cstheme="minorHAnsi"/>
                          <w:sz w:val="18"/>
                        </w:rPr>
                        <w:t xml:space="preserve">11 rue Guynemer </w:t>
                      </w:r>
                    </w:p>
                    <w:p w14:paraId="59DCF324" w14:textId="77777777" w:rsidR="00704FF4" w:rsidRPr="00704FF4" w:rsidRDefault="00704FF4" w:rsidP="00402D1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18"/>
                        </w:rPr>
                      </w:pPr>
                      <w:r w:rsidRPr="00704FF4">
                        <w:rPr>
                          <w:rFonts w:cstheme="minorHAnsi"/>
                          <w:sz w:val="18"/>
                        </w:rPr>
                        <w:t xml:space="preserve">98800 Nouméa </w:t>
                      </w:r>
                    </w:p>
                    <w:p w14:paraId="2595041E" w14:textId="43B11CB6" w:rsidR="00704FF4" w:rsidRDefault="009434EE" w:rsidP="009434E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18"/>
                        </w:rPr>
                      </w:pPr>
                      <w:r>
                        <w:rPr>
                          <w:rFonts w:cstheme="minorHAnsi"/>
                          <w:sz w:val="18"/>
                        </w:rPr>
                        <w:t>(+687) 23 69 69</w:t>
                      </w:r>
                    </w:p>
                    <w:p w14:paraId="7CA74C7A" w14:textId="26B86F72" w:rsidR="009434EE" w:rsidRPr="009434EE" w:rsidRDefault="009434EE" w:rsidP="009434E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18"/>
                        </w:rPr>
                      </w:pPr>
                      <w:hyperlink r:id="rId10" w:history="1">
                        <w:proofErr w:type="spellStart"/>
                        <w:r w:rsidRPr="00FA26D0">
                          <w:rPr>
                            <w:rStyle w:val="Lienhypertexte"/>
                            <w:rFonts w:cstheme="minorHAnsi"/>
                            <w:sz w:val="18"/>
                          </w:rPr>
                          <w:t>www.oeil.nc</w:t>
                        </w:r>
                        <w:proofErr w:type="spellEnd"/>
                      </w:hyperlink>
                      <w:r>
                        <w:rPr>
                          <w:rFonts w:cstheme="minorHAnsi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2D1F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21D7AE9" wp14:editId="1798841D">
            <wp:simplePos x="0" y="0"/>
            <wp:positionH relativeFrom="column">
              <wp:posOffset>-140335</wp:posOffset>
            </wp:positionH>
            <wp:positionV relativeFrom="paragraph">
              <wp:posOffset>103876</wp:posOffset>
            </wp:positionV>
            <wp:extent cx="621665" cy="828040"/>
            <wp:effectExtent l="0" t="0" r="6985" b="0"/>
            <wp:wrapNone/>
            <wp:docPr id="4" name="Image 4" descr="N:\Communication\Charte_logo\logo_OEIL\logo2010\Logo_OEIL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ommunication\Charte_logo\logo_OEIL\logo2010\Logo_OEIL_CMJ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D6BF0" w14:textId="77777777" w:rsidR="003B364A" w:rsidRDefault="003B364A" w:rsidP="001E77EC">
      <w:pPr>
        <w:ind w:left="993"/>
        <w:rPr>
          <w:b/>
          <w:sz w:val="24"/>
        </w:rPr>
      </w:pPr>
    </w:p>
    <w:p w14:paraId="04729A3A" w14:textId="77777777" w:rsidR="003B364A" w:rsidRDefault="003B364A" w:rsidP="001E77EC">
      <w:pPr>
        <w:ind w:left="993"/>
        <w:rPr>
          <w:b/>
          <w:sz w:val="24"/>
        </w:rPr>
      </w:pPr>
    </w:p>
    <w:p w14:paraId="3B9353D9" w14:textId="77777777" w:rsidR="003B364A" w:rsidRDefault="003B364A" w:rsidP="001E77EC">
      <w:pPr>
        <w:ind w:left="993"/>
        <w:rPr>
          <w:b/>
          <w:sz w:val="24"/>
        </w:rPr>
      </w:pPr>
    </w:p>
    <w:p w14:paraId="1E048F30" w14:textId="77777777" w:rsidR="00901B96" w:rsidRDefault="00901B96" w:rsidP="00901B96">
      <w:pPr>
        <w:ind w:left="993"/>
        <w:rPr>
          <w:b/>
          <w:sz w:val="24"/>
        </w:rPr>
      </w:pPr>
    </w:p>
    <w:p w14:paraId="0A54050A" w14:textId="77777777" w:rsidR="00901B96" w:rsidRDefault="00901B96" w:rsidP="00901B96">
      <w:pPr>
        <w:ind w:left="993"/>
        <w:rPr>
          <w:b/>
          <w:sz w:val="24"/>
        </w:rPr>
      </w:pPr>
    </w:p>
    <w:p w14:paraId="545201B6" w14:textId="77777777" w:rsidR="00F235B4" w:rsidRDefault="00402D1F" w:rsidP="00F235B4">
      <w:pPr>
        <w:rPr>
          <w:b/>
          <w:sz w:val="24"/>
        </w:rPr>
      </w:pPr>
      <w:r w:rsidRPr="00402D1F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D6304" wp14:editId="6C348401">
                <wp:simplePos x="0" y="0"/>
                <wp:positionH relativeFrom="column">
                  <wp:posOffset>670560</wp:posOffset>
                </wp:positionH>
                <wp:positionV relativeFrom="paragraph">
                  <wp:posOffset>327965</wp:posOffset>
                </wp:positionV>
                <wp:extent cx="4333240" cy="890270"/>
                <wp:effectExtent l="0" t="0" r="101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240" cy="890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52.8pt;margin-top:25.8pt;width:341.2pt;height:7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" filled="f" strokecolor="black [3213]" strokeweight="2pt"/>
            </w:pict>
          </mc:Fallback>
        </mc:AlternateContent>
      </w:r>
    </w:p>
    <w:p w14:paraId="69187BFB" w14:textId="77777777" w:rsidR="00F235B4" w:rsidRDefault="00F235B4" w:rsidP="00F235B4">
      <w:pPr>
        <w:rPr>
          <w:b/>
          <w:sz w:val="24"/>
        </w:rPr>
      </w:pPr>
    </w:p>
    <w:p w14:paraId="6B59365B" w14:textId="77777777" w:rsidR="003B364A" w:rsidRPr="003B364A" w:rsidRDefault="003B364A" w:rsidP="00F235B4">
      <w:pPr>
        <w:jc w:val="center"/>
        <w:rPr>
          <w:b/>
          <w:sz w:val="32"/>
        </w:rPr>
      </w:pPr>
      <w:r w:rsidRPr="003B364A">
        <w:rPr>
          <w:b/>
          <w:sz w:val="32"/>
        </w:rPr>
        <w:t>APPEL D’OFFRES</w:t>
      </w:r>
    </w:p>
    <w:p w14:paraId="588729A8" w14:textId="77777777" w:rsidR="003B364A" w:rsidRDefault="003B364A" w:rsidP="003B364A">
      <w:pPr>
        <w:ind w:left="993"/>
        <w:jc w:val="center"/>
        <w:rPr>
          <w:b/>
          <w:sz w:val="24"/>
        </w:rPr>
      </w:pPr>
    </w:p>
    <w:p w14:paraId="545601C0" w14:textId="77777777" w:rsidR="00402D1F" w:rsidRDefault="00402D1F" w:rsidP="003B364A">
      <w:pPr>
        <w:jc w:val="center"/>
        <w:rPr>
          <w:sz w:val="32"/>
        </w:rPr>
      </w:pPr>
    </w:p>
    <w:p w14:paraId="028DF5ED" w14:textId="77777777" w:rsidR="00402D1F" w:rsidRDefault="00402D1F" w:rsidP="003B364A">
      <w:pPr>
        <w:jc w:val="center"/>
        <w:rPr>
          <w:sz w:val="32"/>
        </w:rPr>
      </w:pPr>
      <w:r w:rsidRPr="00402D1F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8A0A06" wp14:editId="09AF6219">
                <wp:simplePos x="0" y="0"/>
                <wp:positionH relativeFrom="column">
                  <wp:posOffset>1449070</wp:posOffset>
                </wp:positionH>
                <wp:positionV relativeFrom="paragraph">
                  <wp:posOffset>206004</wp:posOffset>
                </wp:positionV>
                <wp:extent cx="3096260" cy="0"/>
                <wp:effectExtent l="0" t="19050" r="889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1pt,16.2pt" to="357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" strokecolor="black [3040]" strokeweight="2.25pt"/>
            </w:pict>
          </mc:Fallback>
        </mc:AlternateContent>
      </w:r>
    </w:p>
    <w:p w14:paraId="1B202A0A" w14:textId="2ACEB833" w:rsidR="0076597D" w:rsidRPr="003B364A" w:rsidRDefault="000E3259" w:rsidP="003B364A">
      <w:pPr>
        <w:jc w:val="center"/>
        <w:rPr>
          <w:sz w:val="32"/>
        </w:rPr>
      </w:pPr>
      <w:r>
        <w:rPr>
          <w:sz w:val="32"/>
        </w:rPr>
        <w:t>INVENTAIRE DES COMMUNAUTÉS RÉCIF</w:t>
      </w:r>
      <w:r w:rsidR="00004212">
        <w:rPr>
          <w:sz w:val="32"/>
        </w:rPr>
        <w:t>ALES DANS LES BAIES KWÉ ET PORT-</w:t>
      </w:r>
      <w:r>
        <w:rPr>
          <w:sz w:val="32"/>
        </w:rPr>
        <w:t>BOISÉ</w:t>
      </w:r>
    </w:p>
    <w:p w14:paraId="3BF98A2B" w14:textId="77777777" w:rsidR="0076597D" w:rsidRDefault="00402D1F" w:rsidP="0076597D">
      <w:r w:rsidRPr="00402D1F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30B5C" wp14:editId="14E79DB1">
                <wp:simplePos x="0" y="0"/>
                <wp:positionH relativeFrom="column">
                  <wp:posOffset>1454785</wp:posOffset>
                </wp:positionH>
                <wp:positionV relativeFrom="paragraph">
                  <wp:posOffset>58684</wp:posOffset>
                </wp:positionV>
                <wp:extent cx="3096260" cy="0"/>
                <wp:effectExtent l="0" t="19050" r="889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55pt,4.6pt" to="358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" strokecolor="black [3040]" strokeweight="2.25pt"/>
            </w:pict>
          </mc:Fallback>
        </mc:AlternateContent>
      </w:r>
    </w:p>
    <w:p w14:paraId="6F365781" w14:textId="77777777" w:rsidR="003B364A" w:rsidRDefault="003B364A" w:rsidP="0076597D"/>
    <w:p w14:paraId="12C7DF6F" w14:textId="77777777" w:rsidR="00402D1F" w:rsidRPr="0078396B" w:rsidRDefault="00402D1F" w:rsidP="00402D1F">
      <w:pPr>
        <w:spacing w:line="360" w:lineRule="auto"/>
        <w:jc w:val="center"/>
        <w:rPr>
          <w:rFonts w:cstheme="minorHAnsi"/>
          <w:b/>
          <w:color w:val="C00000"/>
          <w:sz w:val="32"/>
        </w:rPr>
      </w:pPr>
      <w:r w:rsidRPr="0078396B">
        <w:rPr>
          <w:rFonts w:cstheme="minorHAnsi"/>
          <w:b/>
          <w:color w:val="C00000"/>
          <w:sz w:val="32"/>
        </w:rPr>
        <w:t>DOSSIER DE CONSULTATION</w:t>
      </w:r>
    </w:p>
    <w:p w14:paraId="18D36AA3" w14:textId="77777777" w:rsidR="00402D1F" w:rsidRPr="00F2207B" w:rsidRDefault="00402D1F" w:rsidP="00402D1F">
      <w:pPr>
        <w:spacing w:line="360" w:lineRule="auto"/>
        <w:jc w:val="center"/>
        <w:rPr>
          <w:rFonts w:asciiTheme="majorHAnsi" w:hAnsiTheme="majorHAnsi"/>
          <w:sz w:val="32"/>
        </w:rPr>
      </w:pPr>
    </w:p>
    <w:p w14:paraId="01AEA35E" w14:textId="77777777" w:rsidR="00402D1F" w:rsidRPr="004356DD" w:rsidRDefault="00402D1F" w:rsidP="00402D1F">
      <w:pPr>
        <w:spacing w:line="360" w:lineRule="auto"/>
        <w:jc w:val="center"/>
        <w:rPr>
          <w:rFonts w:cstheme="minorHAnsi"/>
          <w:b/>
          <w:sz w:val="28"/>
          <w:u w:val="single"/>
        </w:rPr>
      </w:pPr>
      <w:r w:rsidRPr="004356DD">
        <w:rPr>
          <w:rFonts w:cstheme="minorHAnsi"/>
          <w:b/>
          <w:sz w:val="28"/>
          <w:u w:val="single"/>
        </w:rPr>
        <w:t>Date limite de réception des offres :</w:t>
      </w:r>
    </w:p>
    <w:p w14:paraId="23BE10D0" w14:textId="421EBA59" w:rsidR="00402D1F" w:rsidRPr="004356DD" w:rsidRDefault="00B83E63" w:rsidP="00402D1F">
      <w:pPr>
        <w:spacing w:line="360" w:lineRule="auto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1</w:t>
      </w:r>
      <w:r w:rsidR="006211FE">
        <w:rPr>
          <w:rFonts w:cstheme="minorHAnsi"/>
          <w:sz w:val="28"/>
        </w:rPr>
        <w:t>0</w:t>
      </w:r>
      <w:r w:rsidR="00034701" w:rsidRPr="0012200A">
        <w:rPr>
          <w:rFonts w:cstheme="minorHAnsi"/>
          <w:sz w:val="28"/>
        </w:rPr>
        <w:t xml:space="preserve"> </w:t>
      </w:r>
      <w:r w:rsidR="000E3259" w:rsidRPr="0012200A">
        <w:rPr>
          <w:rFonts w:cstheme="minorHAnsi"/>
          <w:sz w:val="28"/>
        </w:rPr>
        <w:t>octobre</w:t>
      </w:r>
      <w:r w:rsidR="00AC2784" w:rsidRPr="0012200A">
        <w:rPr>
          <w:rFonts w:cstheme="minorHAnsi"/>
          <w:sz w:val="28"/>
        </w:rPr>
        <w:t xml:space="preserve"> 2014</w:t>
      </w:r>
    </w:p>
    <w:p w14:paraId="4D97AFDD" w14:textId="77777777" w:rsidR="003B364A" w:rsidRDefault="003B364A"/>
    <w:p w14:paraId="291F6463" w14:textId="77777777" w:rsidR="002164BE" w:rsidRDefault="002164BE"/>
    <w:p w14:paraId="4F4299E2" w14:textId="77777777" w:rsidR="00402D1F" w:rsidRDefault="00402D1F"/>
    <w:p w14:paraId="1F9C553A" w14:textId="77777777" w:rsidR="005E44F7" w:rsidRDefault="005E44F7"/>
    <w:p w14:paraId="491662D2" w14:textId="3733DA84" w:rsidR="009D5945" w:rsidRDefault="00DE5F76" w:rsidP="009D5945">
      <w:pPr>
        <w:tabs>
          <w:tab w:val="left" w:pos="3330"/>
        </w:tabs>
        <w:spacing w:after="0"/>
        <w:jc w:val="both"/>
        <w:rPr>
          <w:b/>
          <w:sz w:val="28"/>
        </w:rPr>
      </w:pPr>
      <w:r w:rsidRPr="003B364A">
        <w:rPr>
          <w:b/>
          <w:sz w:val="28"/>
        </w:rPr>
        <w:lastRenderedPageBreak/>
        <w:t>CONTEXTE</w:t>
      </w:r>
    </w:p>
    <w:p w14:paraId="4A7B159F" w14:textId="5BF0B55D" w:rsidR="007D7081" w:rsidRPr="00F5315F" w:rsidRDefault="000E3259" w:rsidP="005223CB">
      <w:pPr>
        <w:tabs>
          <w:tab w:val="left" w:pos="3330"/>
        </w:tabs>
        <w:spacing w:after="0"/>
        <w:jc w:val="both"/>
      </w:pPr>
      <w:r>
        <w:t>L’observatoire de l’environnement en Nouvelle-Calédonie, province Sud - (OEIL)</w:t>
      </w:r>
      <w:r w:rsidR="00C06391">
        <w:t xml:space="preserve">, est intervenu à plusieurs reprises dans la zone d’influence de </w:t>
      </w:r>
      <w:r w:rsidR="00F5315F">
        <w:t xml:space="preserve">la société </w:t>
      </w:r>
      <w:r w:rsidR="00C06391">
        <w:t xml:space="preserve">Vale Nouvelle-Calédonie </w:t>
      </w:r>
      <w:r w:rsidR="00F5315F">
        <w:t xml:space="preserve">(Vale NC) pour effectuer des inventaires des communautés récifales. En 2011 puis, 2013, l’OEIL a pu observer à deux reprises l’état des communautés situées dans deux baies : celles de la baie </w:t>
      </w:r>
      <w:proofErr w:type="spellStart"/>
      <w:r w:rsidR="00F5315F">
        <w:t>Kwé</w:t>
      </w:r>
      <w:proofErr w:type="spellEnd"/>
      <w:r w:rsidR="00F5315F">
        <w:t xml:space="preserve"> sous influence du bassin versant faisant l’objet d’une exploitation minière par Vale </w:t>
      </w:r>
      <w:r w:rsidR="00F06B83">
        <w:t>NC et celles de la baie de Port-</w:t>
      </w:r>
      <w:r w:rsidR="00F5315F">
        <w:t xml:space="preserve">Boisé adjacente à la Baie </w:t>
      </w:r>
      <w:proofErr w:type="spellStart"/>
      <w:r w:rsidR="00F5315F">
        <w:t>Kwé</w:t>
      </w:r>
      <w:proofErr w:type="spellEnd"/>
      <w:r w:rsidR="00F06B83">
        <w:t xml:space="preserve"> et </w:t>
      </w:r>
      <w:r w:rsidR="00F06B83" w:rsidRPr="00B83E63">
        <w:rPr>
          <w:i/>
        </w:rPr>
        <w:t>a priori</w:t>
      </w:r>
      <w:r w:rsidR="00F06B83">
        <w:t xml:space="preserve"> hors d’influence </w:t>
      </w:r>
      <w:r w:rsidR="009B054A">
        <w:t>du complexe minier et industriel</w:t>
      </w:r>
      <w:r w:rsidR="00F5315F">
        <w:t>. Afin de maintenir une surveillance environnementale sur les communautés récifales de ces deux baies</w:t>
      </w:r>
      <w:r w:rsidR="00B03B83">
        <w:t>,</w:t>
      </w:r>
      <w:r w:rsidR="00F5315F">
        <w:t xml:space="preserve"> l’Observatoire souhaite lancer une nouvelle campagne </w:t>
      </w:r>
      <w:r w:rsidR="00500BC4">
        <w:t>de suivi</w:t>
      </w:r>
      <w:r w:rsidR="00F5315F">
        <w:t>.</w:t>
      </w:r>
    </w:p>
    <w:p w14:paraId="0B89B3B7" w14:textId="77777777" w:rsidR="00F5315F" w:rsidRDefault="00F5315F" w:rsidP="005223CB">
      <w:pPr>
        <w:tabs>
          <w:tab w:val="left" w:pos="3330"/>
        </w:tabs>
        <w:spacing w:after="0"/>
        <w:jc w:val="both"/>
        <w:rPr>
          <w:b/>
          <w:sz w:val="28"/>
        </w:rPr>
      </w:pPr>
    </w:p>
    <w:p w14:paraId="7ADDEE9E" w14:textId="5A101CF5" w:rsidR="006E6E8C" w:rsidRDefault="00DE5F76" w:rsidP="005223CB">
      <w:pPr>
        <w:tabs>
          <w:tab w:val="left" w:pos="3330"/>
        </w:tabs>
        <w:spacing w:after="0"/>
        <w:jc w:val="both"/>
        <w:rPr>
          <w:b/>
          <w:sz w:val="28"/>
        </w:rPr>
      </w:pPr>
      <w:r w:rsidRPr="003B364A">
        <w:rPr>
          <w:b/>
          <w:sz w:val="28"/>
        </w:rPr>
        <w:t>OBJECTIFS</w:t>
      </w:r>
      <w:r w:rsidR="0082565D">
        <w:rPr>
          <w:b/>
          <w:sz w:val="28"/>
        </w:rPr>
        <w:t xml:space="preserve"> DE L</w:t>
      </w:r>
      <w:r w:rsidR="007D7081">
        <w:rPr>
          <w:b/>
          <w:sz w:val="28"/>
        </w:rPr>
        <w:t>A PRESTATION</w:t>
      </w:r>
    </w:p>
    <w:p w14:paraId="0A59892B" w14:textId="78B4D0AC" w:rsidR="00F235CC" w:rsidRPr="00F235CC" w:rsidRDefault="00F235CC" w:rsidP="002A4B9A">
      <w:pPr>
        <w:spacing w:after="0"/>
        <w:jc w:val="both"/>
      </w:pPr>
      <w:r w:rsidRPr="00F235CC">
        <w:t>Les objectifs généraux de la prestation détaillés ci-après sont :</w:t>
      </w:r>
    </w:p>
    <w:p w14:paraId="4BB64035" w14:textId="6200E381" w:rsidR="00F235CC" w:rsidRPr="00F235CC" w:rsidRDefault="00F235CC" w:rsidP="002A4B9A">
      <w:pPr>
        <w:spacing w:after="0"/>
        <w:jc w:val="both"/>
      </w:pPr>
      <w:r w:rsidRPr="00F235CC">
        <w:t xml:space="preserve">(i) La réalisation d’un </w:t>
      </w:r>
      <w:r w:rsidR="00500BC4">
        <w:t>suivi</w:t>
      </w:r>
      <w:r w:rsidRPr="00F235CC">
        <w:t xml:space="preserve"> des communautés récifales</w:t>
      </w:r>
    </w:p>
    <w:p w14:paraId="7AE567A7" w14:textId="3A00D386" w:rsidR="00F235CC" w:rsidRPr="00F235CC" w:rsidRDefault="00F235CC" w:rsidP="00F235CC">
      <w:pPr>
        <w:spacing w:after="0"/>
        <w:jc w:val="both"/>
      </w:pPr>
      <w:r w:rsidRPr="00F235CC">
        <w:t xml:space="preserve">(ii) </w:t>
      </w:r>
      <w:r w:rsidR="00500BC4">
        <w:t>le diagnostic</w:t>
      </w:r>
      <w:r>
        <w:t xml:space="preserve"> </w:t>
      </w:r>
      <w:r w:rsidRPr="00F235CC">
        <w:t xml:space="preserve">de l’état </w:t>
      </w:r>
      <w:r w:rsidR="00500BC4">
        <w:t xml:space="preserve">de santé </w:t>
      </w:r>
      <w:r w:rsidRPr="00F235CC">
        <w:t>des communautés récifales</w:t>
      </w:r>
      <w:r w:rsidR="00B41782" w:rsidRPr="00B41782">
        <w:t xml:space="preserve"> </w:t>
      </w:r>
      <w:r w:rsidR="00B93586">
        <w:t xml:space="preserve">en 2014 </w:t>
      </w:r>
      <w:r w:rsidR="00B41782">
        <w:t>et son</w:t>
      </w:r>
      <w:r w:rsidR="00B41782" w:rsidRPr="00F235CC">
        <w:t xml:space="preserve"> évolution</w:t>
      </w:r>
    </w:p>
    <w:p w14:paraId="27EFE7ED" w14:textId="77777777" w:rsidR="00F235CC" w:rsidRPr="000D161F" w:rsidRDefault="00F235CC" w:rsidP="002A4B9A">
      <w:pPr>
        <w:spacing w:after="0"/>
        <w:jc w:val="both"/>
        <w:rPr>
          <w:b/>
        </w:rPr>
      </w:pPr>
    </w:p>
    <w:p w14:paraId="1A82664B" w14:textId="6A14C0CD" w:rsidR="00B03B83" w:rsidRDefault="00F235CC" w:rsidP="002A4B9A">
      <w:pPr>
        <w:spacing w:after="0"/>
        <w:jc w:val="both"/>
        <w:rPr>
          <w:b/>
          <w:sz w:val="28"/>
        </w:rPr>
      </w:pPr>
      <w:r>
        <w:rPr>
          <w:b/>
          <w:sz w:val="28"/>
        </w:rPr>
        <w:t xml:space="preserve">(i) </w:t>
      </w:r>
      <w:r w:rsidR="00B03B83">
        <w:rPr>
          <w:b/>
          <w:sz w:val="28"/>
        </w:rPr>
        <w:t xml:space="preserve">Réaliser une campagne </w:t>
      </w:r>
      <w:r w:rsidR="00B93586">
        <w:rPr>
          <w:b/>
          <w:sz w:val="28"/>
        </w:rPr>
        <w:t>de suivi</w:t>
      </w:r>
      <w:r w:rsidR="00B03B83">
        <w:rPr>
          <w:b/>
          <w:sz w:val="28"/>
        </w:rPr>
        <w:t xml:space="preserve"> des communautés récifales</w:t>
      </w:r>
    </w:p>
    <w:p w14:paraId="7C6A9082" w14:textId="5004FD51" w:rsidR="00615E4B" w:rsidRDefault="00EB76BB" w:rsidP="002A4B9A">
      <w:pPr>
        <w:spacing w:after="0"/>
        <w:jc w:val="both"/>
      </w:pPr>
      <w:r>
        <w:t xml:space="preserve">Ce premier objectif correspond à la mise en œuvre d’une campagne d’inventaire destinée à acquérir des données de qualité sur </w:t>
      </w:r>
      <w:r w:rsidR="00B93586">
        <w:t>l</w:t>
      </w:r>
      <w:r>
        <w:t>es communautés récifales. Le détail des prescriptions techniques est donné ci-après.</w:t>
      </w:r>
    </w:p>
    <w:p w14:paraId="6939FBDB" w14:textId="77777777" w:rsidR="00EB76BB" w:rsidRDefault="00EB76BB" w:rsidP="002A4B9A">
      <w:pPr>
        <w:spacing w:after="0"/>
        <w:jc w:val="both"/>
      </w:pPr>
    </w:p>
    <w:p w14:paraId="5C6ABB6F" w14:textId="513C303B" w:rsidR="00B45B85" w:rsidRPr="00615E4B" w:rsidRDefault="00F22490" w:rsidP="002A4B9A">
      <w:pPr>
        <w:spacing w:after="0"/>
        <w:jc w:val="both"/>
        <w:rPr>
          <w:b/>
        </w:rPr>
      </w:pPr>
      <w:r w:rsidRPr="00F22490">
        <w:rPr>
          <w:b/>
        </w:rPr>
        <w:sym w:font="Wingdings" w:char="F0E0"/>
      </w:r>
      <w:r>
        <w:rPr>
          <w:b/>
        </w:rPr>
        <w:t xml:space="preserve"> </w:t>
      </w:r>
      <w:r w:rsidR="00B45B85" w:rsidRPr="00615E4B">
        <w:rPr>
          <w:b/>
        </w:rPr>
        <w:t>Zone d’étude et stations</w:t>
      </w:r>
    </w:p>
    <w:p w14:paraId="1916027F" w14:textId="5250D9A3" w:rsidR="00615E4B" w:rsidRDefault="00615E4B" w:rsidP="002A4B9A">
      <w:pPr>
        <w:spacing w:after="0"/>
        <w:jc w:val="both"/>
      </w:pPr>
      <w:r>
        <w:t>Il est attendu que l’inventaire des communautés récifales soit réalisé sur huit stations antérieurement suivies. Quatre stations sont respectivement  réparties dans chacune des baies de Port</w:t>
      </w:r>
      <w:r w:rsidR="00131218">
        <w:t>-</w:t>
      </w:r>
      <w:r>
        <w:t xml:space="preserve">Boisé et </w:t>
      </w:r>
      <w:proofErr w:type="spellStart"/>
      <w:r>
        <w:t>Kwé</w:t>
      </w:r>
      <w:proofErr w:type="spellEnd"/>
      <w:r>
        <w:t>.</w:t>
      </w:r>
    </w:p>
    <w:p w14:paraId="2F4F87B5" w14:textId="52E221DC" w:rsidR="00615E4B" w:rsidRDefault="00615E4B" w:rsidP="00615E4B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4839D4D4" wp14:editId="6DA6B609">
            <wp:extent cx="4953000" cy="365761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1363" cy="365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C508" w14:textId="489E039E" w:rsidR="00615E4B" w:rsidRDefault="00615E4B" w:rsidP="00615E4B">
      <w:pPr>
        <w:spacing w:after="0"/>
        <w:jc w:val="center"/>
        <w:rPr>
          <w:b/>
          <w:sz w:val="20"/>
        </w:rPr>
      </w:pPr>
      <w:r w:rsidRPr="00F06B83">
        <w:rPr>
          <w:b/>
          <w:sz w:val="20"/>
        </w:rPr>
        <w:t xml:space="preserve">Carte représentant le positionnement </w:t>
      </w:r>
      <w:r w:rsidR="00F50B13" w:rsidRPr="00F06B83">
        <w:rPr>
          <w:b/>
          <w:sz w:val="20"/>
        </w:rPr>
        <w:t>des stations d’inventaire</w:t>
      </w:r>
      <w:r w:rsidR="00B41782">
        <w:rPr>
          <w:b/>
          <w:sz w:val="20"/>
        </w:rPr>
        <w:t xml:space="preserve"> (source : </w:t>
      </w:r>
      <w:hyperlink r:id="rId13" w:history="1">
        <w:r w:rsidR="00B41782" w:rsidRPr="00B41782">
          <w:rPr>
            <w:rStyle w:val="Lienhypertexte"/>
            <w:b/>
            <w:sz w:val="20"/>
          </w:rPr>
          <w:t>Site OEIL</w:t>
        </w:r>
      </w:hyperlink>
      <w:r w:rsidR="00B41782">
        <w:rPr>
          <w:b/>
          <w:sz w:val="20"/>
        </w:rPr>
        <w:t>)</w:t>
      </w:r>
      <w:r w:rsidRPr="00F06B83">
        <w:rPr>
          <w:b/>
          <w:sz w:val="20"/>
        </w:rPr>
        <w:t>.</w:t>
      </w:r>
    </w:p>
    <w:p w14:paraId="30699DB4" w14:textId="77777777" w:rsidR="009B054A" w:rsidRDefault="009B054A" w:rsidP="00615E4B">
      <w:pPr>
        <w:spacing w:after="0"/>
        <w:jc w:val="center"/>
        <w:rPr>
          <w:b/>
          <w:sz w:val="20"/>
        </w:rPr>
      </w:pPr>
    </w:p>
    <w:p w14:paraId="5ED3D470" w14:textId="77777777" w:rsidR="009B054A" w:rsidRPr="00F06B83" w:rsidRDefault="009B054A" w:rsidP="00615E4B">
      <w:pPr>
        <w:spacing w:after="0"/>
        <w:jc w:val="center"/>
        <w:rPr>
          <w:b/>
          <w:sz w:val="20"/>
        </w:rPr>
      </w:pPr>
    </w:p>
    <w:p w14:paraId="17AD0752" w14:textId="7FA8330F" w:rsidR="00B03B83" w:rsidRPr="00F06B83" w:rsidRDefault="00615E4B" w:rsidP="00615E4B">
      <w:pPr>
        <w:spacing w:after="0"/>
        <w:jc w:val="center"/>
        <w:rPr>
          <w:noProof/>
          <w:sz w:val="20"/>
          <w:lang w:eastAsia="fr-FR"/>
        </w:rPr>
      </w:pPr>
      <w:r w:rsidRPr="00F06B83">
        <w:rPr>
          <w:b/>
          <w:sz w:val="20"/>
        </w:rPr>
        <w:t>Tableau correspondant aux coordonnées géograph</w:t>
      </w:r>
      <w:r w:rsidR="00F50B13" w:rsidRPr="00F06B83">
        <w:rPr>
          <w:b/>
          <w:sz w:val="20"/>
        </w:rPr>
        <w:t>iques des stations d’inventaire</w:t>
      </w:r>
      <w:r w:rsidRPr="00F06B83">
        <w:rPr>
          <w:noProof/>
          <w:sz w:val="20"/>
          <w:lang w:eastAsia="fr-FR"/>
        </w:rPr>
        <w:t>.</w:t>
      </w:r>
    </w:p>
    <w:tbl>
      <w:tblPr>
        <w:tblW w:w="40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159"/>
        <w:gridCol w:w="1241"/>
      </w:tblGrid>
      <w:tr w:rsidR="00F06B83" w:rsidRPr="00F06B83" w14:paraId="67F29431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BF43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6168" w14:textId="77777777" w:rsidR="00F06B83" w:rsidRPr="00F06B83" w:rsidRDefault="00F06B83" w:rsidP="00F06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Coordonnées GPS</w:t>
            </w:r>
          </w:p>
        </w:tc>
      </w:tr>
      <w:tr w:rsidR="00F06B83" w:rsidRPr="00F06B83" w14:paraId="7B74F336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0B98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Nom (EMR 2013)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A05C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X_WGS84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B09A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Y_WGS84 </w:t>
            </w:r>
          </w:p>
        </w:tc>
      </w:tr>
      <w:tr w:rsidR="00F06B83" w:rsidRPr="00F06B83" w14:paraId="3EDC946C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54C7" w14:textId="7F89B98E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ST31</w:t>
            </w:r>
            <w:r w:rsidR="009B054A">
              <w:rPr>
                <w:rFonts w:ascii="Calibri" w:eastAsia="Times New Roman" w:hAnsi="Calibri" w:cs="Calibri"/>
                <w:color w:val="000000"/>
                <w:lang w:eastAsia="fr-FR"/>
              </w:rPr>
              <w:t>_O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415E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704355,6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7C47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7528104,9</w:t>
            </w:r>
          </w:p>
        </w:tc>
      </w:tr>
      <w:tr w:rsidR="00F06B83" w:rsidRPr="00F06B83" w14:paraId="1D79FF18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AE7" w14:textId="61A079DD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ST32</w:t>
            </w:r>
            <w:r w:rsidR="009B054A">
              <w:rPr>
                <w:rFonts w:ascii="Calibri" w:eastAsia="Times New Roman" w:hAnsi="Calibri" w:cs="Calibri"/>
                <w:color w:val="000000"/>
                <w:lang w:eastAsia="fr-FR"/>
              </w:rPr>
              <w:t>_O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C753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704058,8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98F7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7528001,9</w:t>
            </w:r>
          </w:p>
        </w:tc>
      </w:tr>
      <w:tr w:rsidR="00F06B83" w:rsidRPr="00F06B83" w14:paraId="36742611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FA82" w14:textId="524EA638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ST33</w:t>
            </w:r>
            <w:r w:rsidR="009B054A">
              <w:rPr>
                <w:rFonts w:ascii="Calibri" w:eastAsia="Times New Roman" w:hAnsi="Calibri" w:cs="Calibri"/>
                <w:color w:val="000000"/>
                <w:lang w:eastAsia="fr-FR"/>
              </w:rPr>
              <w:t>_O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F4F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704628,0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BAB3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7527429,9</w:t>
            </w:r>
          </w:p>
        </w:tc>
      </w:tr>
      <w:tr w:rsidR="00F06B83" w:rsidRPr="00F06B83" w14:paraId="63507CCD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2721" w14:textId="2E4BA2AA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ST34</w:t>
            </w:r>
            <w:r w:rsidR="009B054A">
              <w:rPr>
                <w:rFonts w:ascii="Calibri" w:eastAsia="Times New Roman" w:hAnsi="Calibri" w:cs="Calibri"/>
                <w:color w:val="000000"/>
                <w:lang w:eastAsia="fr-FR"/>
              </w:rPr>
              <w:t>_O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E55F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704297,4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2D2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7527360,2</w:t>
            </w:r>
          </w:p>
        </w:tc>
      </w:tr>
      <w:tr w:rsidR="00F06B83" w:rsidRPr="00F06B83" w14:paraId="7F427EF5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AE80" w14:textId="26AC11F3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ST36</w:t>
            </w:r>
            <w:r w:rsidR="009B054A">
              <w:rPr>
                <w:rFonts w:ascii="Calibri" w:eastAsia="Times New Roman" w:hAnsi="Calibri" w:cs="Calibri"/>
                <w:color w:val="000000"/>
                <w:lang w:eastAsia="fr-FR"/>
              </w:rPr>
              <w:t>_O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18CC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702356,4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4212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7526115,8</w:t>
            </w:r>
          </w:p>
        </w:tc>
      </w:tr>
      <w:tr w:rsidR="00F06B83" w:rsidRPr="00F06B83" w14:paraId="3C682B40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5B7" w14:textId="323967FA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ST37</w:t>
            </w:r>
            <w:r w:rsidR="009B054A">
              <w:rPr>
                <w:rFonts w:ascii="Calibri" w:eastAsia="Times New Roman" w:hAnsi="Calibri" w:cs="Calibri"/>
                <w:color w:val="000000"/>
                <w:lang w:eastAsia="fr-FR"/>
              </w:rPr>
              <w:t>_O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B8EE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702914,3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7F4A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7526445,3</w:t>
            </w:r>
          </w:p>
        </w:tc>
      </w:tr>
      <w:tr w:rsidR="00F06B83" w:rsidRPr="00F06B83" w14:paraId="1E24189A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0946" w14:textId="5F56AD59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ST38</w:t>
            </w:r>
            <w:r w:rsidR="009B054A">
              <w:rPr>
                <w:rFonts w:ascii="Calibri" w:eastAsia="Times New Roman" w:hAnsi="Calibri" w:cs="Calibri"/>
                <w:color w:val="000000"/>
                <w:lang w:eastAsia="fr-FR"/>
              </w:rPr>
              <w:t>_O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7FCC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702205,6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85E2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7527275,8</w:t>
            </w:r>
          </w:p>
        </w:tc>
      </w:tr>
      <w:tr w:rsidR="00F06B83" w:rsidRPr="00F06B83" w14:paraId="53486693" w14:textId="77777777" w:rsidTr="00F06B8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9C31" w14:textId="1B450CC5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ST39</w:t>
            </w:r>
            <w:r w:rsidR="009B054A">
              <w:rPr>
                <w:rFonts w:ascii="Calibri" w:eastAsia="Times New Roman" w:hAnsi="Calibri" w:cs="Calibri"/>
                <w:color w:val="000000"/>
                <w:lang w:eastAsia="fr-FR"/>
              </w:rPr>
              <w:t>_O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F240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701686,0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2AAF" w14:textId="77777777" w:rsidR="00F06B83" w:rsidRPr="00F06B83" w:rsidRDefault="00F06B83" w:rsidP="00F0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06B83">
              <w:rPr>
                <w:rFonts w:ascii="Calibri" w:eastAsia="Times New Roman" w:hAnsi="Calibri" w:cs="Calibri"/>
                <w:color w:val="000000"/>
                <w:lang w:eastAsia="fr-FR"/>
              </w:rPr>
              <w:t>7527224,0</w:t>
            </w:r>
          </w:p>
        </w:tc>
      </w:tr>
    </w:tbl>
    <w:p w14:paraId="72BBB6EA" w14:textId="77777777" w:rsidR="00F06B83" w:rsidRDefault="00F06B83" w:rsidP="00615E4B">
      <w:pPr>
        <w:spacing w:after="0"/>
        <w:jc w:val="center"/>
      </w:pPr>
    </w:p>
    <w:p w14:paraId="0F029C68" w14:textId="77777777" w:rsidR="00B45B85" w:rsidRDefault="00B45B85" w:rsidP="002A4B9A">
      <w:pPr>
        <w:spacing w:after="0"/>
        <w:jc w:val="both"/>
      </w:pPr>
    </w:p>
    <w:p w14:paraId="457EFED8" w14:textId="1190CBD5" w:rsidR="00615E4B" w:rsidRPr="00615E4B" w:rsidRDefault="00F22490" w:rsidP="00615E4B">
      <w:pPr>
        <w:pStyle w:val="Style1"/>
        <w:numPr>
          <w:ilvl w:val="0"/>
          <w:numId w:val="0"/>
        </w:numPr>
        <w:spacing w:after="0"/>
        <w:rPr>
          <w:b/>
          <w:sz w:val="22"/>
          <w:u w:val="none"/>
        </w:rPr>
      </w:pPr>
      <w:r w:rsidRPr="00F22490">
        <w:rPr>
          <w:b/>
          <w:sz w:val="22"/>
          <w:u w:val="none"/>
          <w:lang w:val="fr-FR"/>
        </w:rPr>
        <w:sym w:font="Wingdings" w:char="F0E0"/>
      </w:r>
      <w:r>
        <w:rPr>
          <w:b/>
          <w:sz w:val="22"/>
          <w:u w:val="none"/>
          <w:lang w:val="fr-FR"/>
        </w:rPr>
        <w:t xml:space="preserve"> </w:t>
      </w:r>
      <w:r w:rsidR="00615E4B" w:rsidRPr="00615E4B">
        <w:rPr>
          <w:b/>
          <w:sz w:val="22"/>
          <w:u w:val="none"/>
        </w:rPr>
        <w:t>Stations et transects</w:t>
      </w:r>
    </w:p>
    <w:p w14:paraId="340388CC" w14:textId="4307A873" w:rsidR="00615E4B" w:rsidRDefault="00615E4B" w:rsidP="00131218">
      <w:pPr>
        <w:spacing w:after="0"/>
        <w:jc w:val="both"/>
        <w:rPr>
          <w:bCs/>
          <w:iCs/>
        </w:rPr>
      </w:pPr>
      <w:r>
        <w:t xml:space="preserve">Chaque station comprend 3 </w:t>
      </w:r>
      <w:proofErr w:type="spellStart"/>
      <w:r>
        <w:t>transects</w:t>
      </w:r>
      <w:proofErr w:type="spellEnd"/>
      <w:r>
        <w:t xml:space="preserve"> </w:t>
      </w:r>
      <w:r w:rsidR="009B054A">
        <w:t xml:space="preserve">de 20 m de long </w:t>
      </w:r>
      <w:r>
        <w:t xml:space="preserve">répartis sur le </w:t>
      </w:r>
      <w:r w:rsidRPr="00A30BC7">
        <w:rPr>
          <w:bCs/>
          <w:iCs/>
        </w:rPr>
        <w:t>platier</w:t>
      </w:r>
      <w:r>
        <w:rPr>
          <w:bCs/>
          <w:iCs/>
        </w:rPr>
        <w:t xml:space="preserve"> (zone des 1-</w:t>
      </w:r>
      <w:r>
        <w:t>3 m)</w:t>
      </w:r>
      <w:r w:rsidRPr="00A30BC7">
        <w:rPr>
          <w:bCs/>
          <w:iCs/>
        </w:rPr>
        <w:t xml:space="preserve">, haut du tombant </w:t>
      </w:r>
      <w:r>
        <w:rPr>
          <w:bCs/>
          <w:iCs/>
        </w:rPr>
        <w:t xml:space="preserve">(zone des 2-5 m) </w:t>
      </w:r>
      <w:r w:rsidRPr="00A30BC7">
        <w:rPr>
          <w:bCs/>
          <w:iCs/>
        </w:rPr>
        <w:t>et bas du tombant</w:t>
      </w:r>
      <w:r>
        <w:rPr>
          <w:bCs/>
          <w:iCs/>
        </w:rPr>
        <w:t xml:space="preserve"> (zone des 5-20 m).</w:t>
      </w:r>
    </w:p>
    <w:p w14:paraId="6A76EE81" w14:textId="77777777" w:rsidR="00B93586" w:rsidRDefault="00B93586" w:rsidP="00131218">
      <w:pPr>
        <w:spacing w:after="0"/>
        <w:jc w:val="both"/>
        <w:rPr>
          <w:bCs/>
          <w:iCs/>
        </w:rPr>
      </w:pPr>
    </w:p>
    <w:p w14:paraId="06A3DC45" w14:textId="7D537172" w:rsidR="00615E4B" w:rsidRDefault="00F22490" w:rsidP="00615E4B">
      <w:pPr>
        <w:jc w:val="both"/>
      </w:pPr>
      <w:r>
        <w:t>L</w:t>
      </w:r>
      <w:r w:rsidR="00615E4B">
        <w:t xml:space="preserve">es stations </w:t>
      </w:r>
      <w:r>
        <w:t>sont, en principe, matérialisées</w:t>
      </w:r>
      <w:r w:rsidR="00615E4B">
        <w:t xml:space="preserve"> par</w:t>
      </w:r>
      <w:r>
        <w:t xml:space="preserve"> des piquets (fers à béton). Si des </w:t>
      </w:r>
      <w:r w:rsidR="00615E4B">
        <w:t>stations</w:t>
      </w:r>
      <w:r>
        <w:t xml:space="preserve"> s’avèrent</w:t>
      </w:r>
      <w:r w:rsidR="00615E4B">
        <w:t xml:space="preserve"> non balisées (stat</w:t>
      </w:r>
      <w:r>
        <w:t>ions pour lesquelles il manque d</w:t>
      </w:r>
      <w:r w:rsidR="00615E4B">
        <w:t xml:space="preserve">es piquets), le prestataire échantillonne aux points décrits sur la carte en balisant le départ et la fin du </w:t>
      </w:r>
      <w:proofErr w:type="spellStart"/>
      <w:r w:rsidR="00615E4B">
        <w:t>transect</w:t>
      </w:r>
      <w:proofErr w:type="spellEnd"/>
      <w:r w:rsidR="00615E4B">
        <w:t xml:space="preserve">. Dans tous les cas, les </w:t>
      </w:r>
      <w:proofErr w:type="spellStart"/>
      <w:r w:rsidR="00615E4B">
        <w:t>transects</w:t>
      </w:r>
      <w:proofErr w:type="spellEnd"/>
      <w:r w:rsidR="00615E4B">
        <w:t xml:space="preserve"> seront positionnés sur une même unité géomorphologique (ex : platier), dans une zone homogène,</w:t>
      </w:r>
      <w:r>
        <w:t xml:space="preserve"> et</w:t>
      </w:r>
      <w:r w:rsidR="00615E4B">
        <w:t xml:space="preserve"> </w:t>
      </w:r>
      <w:r>
        <w:t xml:space="preserve">en essayant de respecter le précédent positionnement des </w:t>
      </w:r>
      <w:proofErr w:type="spellStart"/>
      <w:r>
        <w:t>transects</w:t>
      </w:r>
      <w:proofErr w:type="spellEnd"/>
      <w:r>
        <w:t xml:space="preserve"> les uns par rapport aux autres.</w:t>
      </w:r>
    </w:p>
    <w:p w14:paraId="03F2AF21" w14:textId="381DFEE8" w:rsidR="00F22490" w:rsidRDefault="00F22490" w:rsidP="00F22490">
      <w:pPr>
        <w:jc w:val="both"/>
      </w:pPr>
      <w:r>
        <w:t>Pour chaque station sont renseignées les informations suivantes :</w:t>
      </w:r>
    </w:p>
    <w:p w14:paraId="103543DB" w14:textId="695F6954" w:rsidR="00F22490" w:rsidRDefault="00C72A48" w:rsidP="00F22490">
      <w:pPr>
        <w:jc w:val="both"/>
      </w:pPr>
      <w:r>
        <w:t xml:space="preserve">- </w:t>
      </w:r>
      <w:r w:rsidR="00F22490">
        <w:t>Nom des personnes effectuant les différents relevés</w:t>
      </w:r>
    </w:p>
    <w:p w14:paraId="6678EB3E" w14:textId="09D36B0C" w:rsidR="00F22490" w:rsidRDefault="00C72A48" w:rsidP="00F22490">
      <w:pPr>
        <w:spacing w:after="0"/>
        <w:jc w:val="both"/>
      </w:pPr>
      <w:r>
        <w:t xml:space="preserve">- </w:t>
      </w:r>
      <w:r w:rsidR="00F22490">
        <w:t>Paramètres d’échantillonnage</w:t>
      </w:r>
      <w:r>
        <w:t> :</w:t>
      </w:r>
    </w:p>
    <w:p w14:paraId="47E59CB0" w14:textId="77777777" w:rsidR="00F22490" w:rsidRDefault="00F22490" w:rsidP="00F22490">
      <w:pPr>
        <w:numPr>
          <w:ilvl w:val="0"/>
          <w:numId w:val="19"/>
        </w:numPr>
        <w:spacing w:after="0"/>
        <w:ind w:left="714" w:hanging="357"/>
        <w:jc w:val="both"/>
      </w:pPr>
      <w:r>
        <w:t xml:space="preserve">L’orientation du </w:t>
      </w:r>
      <w:proofErr w:type="spellStart"/>
      <w:r>
        <w:t>transect</w:t>
      </w:r>
      <w:proofErr w:type="spellEnd"/>
      <w:r>
        <w:t xml:space="preserve"> au point de départ est indiquée (cap). Les coordonnées des points de départ et d’arrivée sont exprimées dans le référentiel WGS 84,</w:t>
      </w:r>
    </w:p>
    <w:p w14:paraId="4EB8ECBF" w14:textId="77777777" w:rsidR="00F22490" w:rsidRDefault="00F22490" w:rsidP="00F22490">
      <w:pPr>
        <w:numPr>
          <w:ilvl w:val="0"/>
          <w:numId w:val="19"/>
        </w:numPr>
        <w:spacing w:after="0"/>
        <w:ind w:left="714" w:hanging="357"/>
        <w:jc w:val="both"/>
      </w:pPr>
      <w:r>
        <w:t>Date et heure de début et de fin d’échantillonnage.</w:t>
      </w:r>
    </w:p>
    <w:p w14:paraId="275F28F0" w14:textId="77777777" w:rsidR="00F22490" w:rsidRDefault="00F22490" w:rsidP="00F22490">
      <w:pPr>
        <w:spacing w:after="0"/>
        <w:ind w:left="714"/>
        <w:jc w:val="both"/>
      </w:pPr>
    </w:p>
    <w:p w14:paraId="08B258F5" w14:textId="36775E5E" w:rsidR="00F22490" w:rsidRDefault="00C72A48" w:rsidP="00F22490">
      <w:pPr>
        <w:spacing w:after="0"/>
        <w:jc w:val="both"/>
      </w:pPr>
      <w:r>
        <w:t xml:space="preserve">- </w:t>
      </w:r>
      <w:r w:rsidR="00F22490">
        <w:t>Paramètres environnementaux</w:t>
      </w:r>
      <w:r>
        <w:t> :</w:t>
      </w:r>
    </w:p>
    <w:p w14:paraId="3D0B5358" w14:textId="05AB12AD" w:rsidR="00F22490" w:rsidRDefault="00F22490" w:rsidP="00F22490">
      <w:pPr>
        <w:numPr>
          <w:ilvl w:val="0"/>
          <w:numId w:val="20"/>
        </w:numPr>
        <w:spacing w:after="0"/>
        <w:jc w:val="both"/>
      </w:pPr>
      <w:r>
        <w:t xml:space="preserve">Exposition de la station (protégé </w:t>
      </w:r>
      <w:r w:rsidR="00A7382C">
        <w:t>versus</w:t>
      </w:r>
      <w:r>
        <w:t xml:space="preserve"> exposé au vent dominant d’alizé)</w:t>
      </w:r>
    </w:p>
    <w:p w14:paraId="7689347A" w14:textId="77777777" w:rsidR="00F22490" w:rsidRDefault="00F22490" w:rsidP="00F22490">
      <w:pPr>
        <w:numPr>
          <w:ilvl w:val="0"/>
          <w:numId w:val="19"/>
        </w:numPr>
        <w:spacing w:after="0"/>
        <w:ind w:left="714" w:hanging="357"/>
        <w:jc w:val="both"/>
      </w:pPr>
      <w:r>
        <w:t>Marée (étale de marée haute ou basse, marée montante ou descendante),</w:t>
      </w:r>
    </w:p>
    <w:p w14:paraId="08AF208A" w14:textId="77777777" w:rsidR="00F22490" w:rsidRDefault="00F22490" w:rsidP="00F22490">
      <w:pPr>
        <w:numPr>
          <w:ilvl w:val="0"/>
          <w:numId w:val="19"/>
        </w:numPr>
        <w:spacing w:after="0"/>
        <w:ind w:left="714" w:hanging="357"/>
        <w:jc w:val="both"/>
      </w:pPr>
      <w:r>
        <w:t xml:space="preserve">Vent : direction indiquée par secteur de 45° (Nord, Nord-Ouest, Ouest, Sud-Ouest…) et force du vent (&lt; 5 nœuds, 5-15 nœuds, 15-20 nœuds). Sauf si elles sont abritées du vent, les stations ne devront pas être échantillonnées si celui-ci est &gt; 20 nœuds. L’échantillonnage sera repoussé à une période plus propice. </w:t>
      </w:r>
    </w:p>
    <w:p w14:paraId="417FF71E" w14:textId="77777777" w:rsidR="00F22490" w:rsidRDefault="00F22490" w:rsidP="00F22490">
      <w:pPr>
        <w:numPr>
          <w:ilvl w:val="0"/>
          <w:numId w:val="19"/>
        </w:numPr>
        <w:spacing w:after="0"/>
        <w:ind w:left="714" w:hanging="357"/>
        <w:jc w:val="both"/>
      </w:pPr>
      <w:r>
        <w:t>Etat de la mer (calme -lisse-, peu agitée -clapot-, agitée -mouton-, très agitée -hachée),</w:t>
      </w:r>
    </w:p>
    <w:p w14:paraId="65382173" w14:textId="77777777" w:rsidR="00F22490" w:rsidRDefault="00F22490" w:rsidP="00F22490">
      <w:pPr>
        <w:numPr>
          <w:ilvl w:val="0"/>
          <w:numId w:val="19"/>
        </w:numPr>
        <w:spacing w:after="0"/>
        <w:ind w:left="714" w:hanging="357"/>
        <w:jc w:val="both"/>
      </w:pPr>
      <w:r>
        <w:t xml:space="preserve">Force du courant (nulle, faible, modéré). Si le courant est fort, l’échantillonnage sera repoussé à une période plus propice. </w:t>
      </w:r>
    </w:p>
    <w:p w14:paraId="356813AB" w14:textId="77777777" w:rsidR="00F22490" w:rsidRDefault="00F22490" w:rsidP="00F22490">
      <w:pPr>
        <w:numPr>
          <w:ilvl w:val="0"/>
          <w:numId w:val="19"/>
        </w:numPr>
        <w:spacing w:after="0"/>
        <w:ind w:left="714" w:hanging="357"/>
        <w:jc w:val="both"/>
      </w:pPr>
      <w:r>
        <w:t>Un profil schématique de chacune des stations et une brève description annexés au rapport.</w:t>
      </w:r>
    </w:p>
    <w:p w14:paraId="74C74742" w14:textId="77777777" w:rsidR="00F22490" w:rsidRDefault="00F22490" w:rsidP="00C72A48">
      <w:pPr>
        <w:spacing w:after="0"/>
        <w:jc w:val="both"/>
      </w:pPr>
    </w:p>
    <w:p w14:paraId="1C059B66" w14:textId="1C6BFE9D" w:rsidR="00F22490" w:rsidRDefault="00C72A48" w:rsidP="00C72A48">
      <w:pPr>
        <w:spacing w:after="0"/>
        <w:jc w:val="both"/>
      </w:pPr>
      <w:r>
        <w:t xml:space="preserve">- </w:t>
      </w:r>
      <w:r w:rsidR="00F22490">
        <w:t xml:space="preserve">Pour chaque </w:t>
      </w:r>
      <w:proofErr w:type="spellStart"/>
      <w:r w:rsidR="00F22490">
        <w:t>transect</w:t>
      </w:r>
      <w:proofErr w:type="spellEnd"/>
      <w:r w:rsidR="00F22490">
        <w:t xml:space="preserve"> sont renseignées les informations suivantes :</w:t>
      </w:r>
    </w:p>
    <w:p w14:paraId="1E276B9A" w14:textId="77777777" w:rsidR="00F22490" w:rsidRDefault="00F22490" w:rsidP="00F22490">
      <w:pPr>
        <w:numPr>
          <w:ilvl w:val="0"/>
          <w:numId w:val="21"/>
        </w:numPr>
        <w:spacing w:after="0"/>
        <w:jc w:val="both"/>
      </w:pPr>
      <w:r>
        <w:t>Profondeur,</w:t>
      </w:r>
    </w:p>
    <w:p w14:paraId="6957BAB9" w14:textId="77777777" w:rsidR="00F22490" w:rsidRDefault="00F22490" w:rsidP="00F22490">
      <w:pPr>
        <w:numPr>
          <w:ilvl w:val="0"/>
          <w:numId w:val="21"/>
        </w:numPr>
        <w:spacing w:after="0"/>
        <w:jc w:val="both"/>
      </w:pPr>
      <w:r>
        <w:t>Visibilité (distance permettant l’identification des poissons jusqu’au niveau spécifique),</w:t>
      </w:r>
    </w:p>
    <w:p w14:paraId="65A34BDB" w14:textId="77777777" w:rsidR="00F22490" w:rsidRDefault="00F22490" w:rsidP="00F22490">
      <w:pPr>
        <w:numPr>
          <w:ilvl w:val="0"/>
          <w:numId w:val="21"/>
        </w:numPr>
        <w:spacing w:after="0"/>
        <w:jc w:val="both"/>
      </w:pPr>
      <w:r>
        <w:t xml:space="preserve">4 photos des principaux habitats de chacun des </w:t>
      </w:r>
      <w:proofErr w:type="spellStart"/>
      <w:r>
        <w:t>transects</w:t>
      </w:r>
      <w:proofErr w:type="spellEnd"/>
      <w:r w:rsidRPr="001825B2">
        <w:t xml:space="preserve"> </w:t>
      </w:r>
      <w:r>
        <w:t>et toutes photos significatives permettant d’illustrer les annexes du rapport.</w:t>
      </w:r>
    </w:p>
    <w:p w14:paraId="449299FD" w14:textId="77777777" w:rsidR="00131218" w:rsidRDefault="00131218" w:rsidP="00C72A48">
      <w:pPr>
        <w:spacing w:after="0"/>
        <w:jc w:val="both"/>
      </w:pPr>
    </w:p>
    <w:p w14:paraId="17B4C2A9" w14:textId="77777777" w:rsidR="00F22490" w:rsidRDefault="00F22490" w:rsidP="00C72A48">
      <w:pPr>
        <w:spacing w:after="0"/>
        <w:jc w:val="both"/>
      </w:pPr>
      <w:r>
        <w:t>Les listes des paramètres d’échantillonnage et des paramètres environnementaux ne sont pas exhaustives. Elles peuvent être complétées par le prestataire.</w:t>
      </w:r>
    </w:p>
    <w:p w14:paraId="1D79EBFF" w14:textId="77777777" w:rsidR="00C72A48" w:rsidRDefault="00C72A48" w:rsidP="00C72A48">
      <w:pPr>
        <w:spacing w:after="0"/>
        <w:jc w:val="both"/>
      </w:pPr>
    </w:p>
    <w:p w14:paraId="72568CCD" w14:textId="4C4951D9" w:rsidR="00615E4B" w:rsidRPr="00F22490" w:rsidRDefault="00F22490" w:rsidP="002A4B9A">
      <w:pPr>
        <w:spacing w:after="0"/>
        <w:jc w:val="both"/>
        <w:rPr>
          <w:b/>
        </w:rPr>
      </w:pPr>
      <w:r w:rsidRPr="00F22490">
        <w:rPr>
          <w:b/>
        </w:rPr>
        <w:sym w:font="Wingdings" w:char="F0E0"/>
      </w:r>
      <w:r>
        <w:rPr>
          <w:b/>
        </w:rPr>
        <w:t xml:space="preserve"> </w:t>
      </w:r>
      <w:r w:rsidRPr="00F22490">
        <w:rPr>
          <w:b/>
        </w:rPr>
        <w:t>Communautés récifales</w:t>
      </w:r>
    </w:p>
    <w:p w14:paraId="7AE86B30" w14:textId="7296A2C8" w:rsidR="00F22490" w:rsidRDefault="00C72A48" w:rsidP="002A4B9A">
      <w:pPr>
        <w:spacing w:after="0"/>
        <w:jc w:val="both"/>
      </w:pPr>
      <w:r>
        <w:t>Les</w:t>
      </w:r>
      <w:r w:rsidR="00F22490">
        <w:t xml:space="preserve"> communautés récifales</w:t>
      </w:r>
      <w:r>
        <w:t xml:space="preserve"> </w:t>
      </w:r>
      <w:r w:rsidR="00A7382C">
        <w:t>selon</w:t>
      </w:r>
      <w:r w:rsidR="00F22490">
        <w:t xml:space="preserve"> trois </w:t>
      </w:r>
      <w:r w:rsidR="00A7382C">
        <w:t>« </w:t>
      </w:r>
      <w:r w:rsidR="00F22490">
        <w:t>compartiments</w:t>
      </w:r>
      <w:r w:rsidR="00A7382C">
        <w:t xml:space="preserve"> » </w:t>
      </w:r>
      <w:r w:rsidR="00F22490">
        <w:t xml:space="preserve">: </w:t>
      </w:r>
    </w:p>
    <w:p w14:paraId="4281CB2C" w14:textId="17EFCD2B" w:rsidR="00F22490" w:rsidRDefault="00F22490" w:rsidP="002A4B9A">
      <w:pPr>
        <w:spacing w:after="0"/>
        <w:jc w:val="both"/>
      </w:pPr>
      <w:r>
        <w:t>- substrat</w:t>
      </w:r>
    </w:p>
    <w:p w14:paraId="53FABE20" w14:textId="659E9D7F" w:rsidR="00F22490" w:rsidRDefault="00F22490" w:rsidP="002A4B9A">
      <w:pPr>
        <w:spacing w:after="0"/>
        <w:jc w:val="both"/>
      </w:pPr>
      <w:r>
        <w:t xml:space="preserve">- </w:t>
      </w:r>
      <w:proofErr w:type="spellStart"/>
      <w:r>
        <w:t>macrobenthos</w:t>
      </w:r>
      <w:proofErr w:type="spellEnd"/>
    </w:p>
    <w:p w14:paraId="60195B2B" w14:textId="110CF7CB" w:rsidR="00F22490" w:rsidRDefault="00F22490" w:rsidP="002A4B9A">
      <w:pPr>
        <w:spacing w:after="0"/>
        <w:jc w:val="both"/>
      </w:pPr>
      <w:r>
        <w:t>- poissons</w:t>
      </w:r>
    </w:p>
    <w:p w14:paraId="5FC48DC1" w14:textId="77777777" w:rsidR="00F22490" w:rsidRDefault="00F22490" w:rsidP="002A4B9A">
      <w:pPr>
        <w:spacing w:after="0"/>
        <w:jc w:val="both"/>
      </w:pPr>
    </w:p>
    <w:p w14:paraId="358D3BAA" w14:textId="47660B1D" w:rsidR="00F22490" w:rsidRPr="00F22490" w:rsidRDefault="00F22490" w:rsidP="002A4B9A">
      <w:pPr>
        <w:spacing w:after="0"/>
        <w:jc w:val="both"/>
        <w:rPr>
          <w:b/>
          <w:i/>
        </w:rPr>
      </w:pPr>
      <w:r w:rsidRPr="00F22490">
        <w:rPr>
          <w:b/>
          <w:i/>
        </w:rPr>
        <w:t>Échantillonnage du substrat</w:t>
      </w:r>
    </w:p>
    <w:p w14:paraId="10C588DB" w14:textId="4AE97987" w:rsidR="00F22490" w:rsidRDefault="00F22490" w:rsidP="00F22490">
      <w:pPr>
        <w:spacing w:after="0"/>
        <w:jc w:val="both"/>
        <w:rPr>
          <w:bCs/>
          <w:iCs/>
        </w:rPr>
      </w:pPr>
      <w:r>
        <w:rPr>
          <w:bCs/>
          <w:iCs/>
        </w:rPr>
        <w:t xml:space="preserve">La </w:t>
      </w:r>
      <w:proofErr w:type="spellStart"/>
      <w:r>
        <w:rPr>
          <w:bCs/>
          <w:iCs/>
        </w:rPr>
        <w:t>transect</w:t>
      </w:r>
      <w:proofErr w:type="spellEnd"/>
      <w:r>
        <w:rPr>
          <w:bCs/>
          <w:iCs/>
        </w:rPr>
        <w:t xml:space="preserve"> est matérialisé par un ruban double décamètres positionné sur une même profondeur.  </w:t>
      </w:r>
      <w:r w:rsidRPr="00A30BC7">
        <w:rPr>
          <w:bCs/>
          <w:iCs/>
        </w:rPr>
        <w:t>Les classes de "</w:t>
      </w:r>
      <w:r w:rsidRPr="00A30BC7">
        <w:rPr>
          <w:bCs/>
          <w:i/>
          <w:iCs/>
        </w:rPr>
        <w:t xml:space="preserve">life </w:t>
      </w:r>
      <w:proofErr w:type="spellStart"/>
      <w:r w:rsidRPr="00A30BC7">
        <w:rPr>
          <w:bCs/>
          <w:i/>
          <w:iCs/>
        </w:rPr>
        <w:t>forms</w:t>
      </w:r>
      <w:proofErr w:type="spellEnd"/>
      <w:r w:rsidRPr="00A30BC7">
        <w:rPr>
          <w:bCs/>
          <w:iCs/>
        </w:rPr>
        <w:t>" du "</w:t>
      </w:r>
      <w:r w:rsidRPr="00A30BC7">
        <w:rPr>
          <w:bCs/>
          <w:i/>
          <w:iCs/>
        </w:rPr>
        <w:t xml:space="preserve">Line </w:t>
      </w:r>
      <w:proofErr w:type="spellStart"/>
      <w:r w:rsidRPr="00A30BC7">
        <w:rPr>
          <w:bCs/>
          <w:i/>
          <w:iCs/>
        </w:rPr>
        <w:t>Intersept</w:t>
      </w:r>
      <w:proofErr w:type="spellEnd"/>
      <w:r w:rsidRPr="00A30BC7">
        <w:rPr>
          <w:bCs/>
          <w:i/>
          <w:iCs/>
        </w:rPr>
        <w:t xml:space="preserve"> </w:t>
      </w:r>
      <w:proofErr w:type="spellStart"/>
      <w:r w:rsidRPr="00A30BC7">
        <w:rPr>
          <w:bCs/>
          <w:i/>
          <w:iCs/>
        </w:rPr>
        <w:t>Transect</w:t>
      </w:r>
      <w:proofErr w:type="spellEnd"/>
      <w:r w:rsidRPr="00A30BC7">
        <w:rPr>
          <w:bCs/>
          <w:iCs/>
        </w:rPr>
        <w:t xml:space="preserve">" sont celles préconisées par English </w:t>
      </w:r>
      <w:r w:rsidRPr="00A30BC7">
        <w:rPr>
          <w:bCs/>
          <w:i/>
          <w:iCs/>
        </w:rPr>
        <w:t>et al.</w:t>
      </w:r>
      <w:r>
        <w:rPr>
          <w:bCs/>
          <w:i/>
          <w:iCs/>
        </w:rPr>
        <w:t xml:space="preserve"> </w:t>
      </w:r>
      <w:r w:rsidRPr="00A30BC7">
        <w:rPr>
          <w:bCs/>
          <w:iCs/>
        </w:rPr>
        <w:t>(1997)</w:t>
      </w:r>
      <w:r>
        <w:rPr>
          <w:rStyle w:val="Marquenotebasdepage"/>
          <w:bCs/>
          <w:iCs/>
        </w:rPr>
        <w:footnoteReference w:id="1"/>
      </w:r>
      <w:r>
        <w:rPr>
          <w:bCs/>
          <w:iCs/>
        </w:rPr>
        <w:t>.</w:t>
      </w:r>
      <w:r>
        <w:rPr>
          <w:bCs/>
          <w:i/>
          <w:iCs/>
        </w:rPr>
        <w:t xml:space="preserve"> </w:t>
      </w:r>
      <w:r w:rsidRPr="00A30BC7">
        <w:rPr>
          <w:bCs/>
          <w:iCs/>
        </w:rPr>
        <w:t>L'évaluation du recouvreme</w:t>
      </w:r>
      <w:r>
        <w:rPr>
          <w:bCs/>
          <w:iCs/>
        </w:rPr>
        <w:t xml:space="preserve">nt de ces classes est continue </w:t>
      </w:r>
      <w:r w:rsidR="008A1E02">
        <w:rPr>
          <w:bCs/>
          <w:iCs/>
        </w:rPr>
        <w:t>avec une résolution de 1</w:t>
      </w:r>
      <w:r w:rsidRPr="00A30BC7">
        <w:rPr>
          <w:bCs/>
          <w:iCs/>
        </w:rPr>
        <w:t xml:space="preserve"> cm (</w:t>
      </w:r>
      <w:proofErr w:type="spellStart"/>
      <w:r w:rsidRPr="00A30BC7">
        <w:rPr>
          <w:bCs/>
          <w:iCs/>
        </w:rPr>
        <w:t>e.g</w:t>
      </w:r>
      <w:proofErr w:type="spellEnd"/>
      <w:r w:rsidRPr="00A30BC7">
        <w:rPr>
          <w:bCs/>
          <w:iCs/>
        </w:rPr>
        <w:t xml:space="preserve">. </w:t>
      </w:r>
      <w:proofErr w:type="spellStart"/>
      <w:r w:rsidRPr="00A30BC7">
        <w:rPr>
          <w:bCs/>
          <w:i/>
          <w:iCs/>
        </w:rPr>
        <w:t>Acropora</w:t>
      </w:r>
      <w:proofErr w:type="spellEnd"/>
      <w:r>
        <w:rPr>
          <w:bCs/>
          <w:iCs/>
        </w:rPr>
        <w:t xml:space="preserve"> branchu de 0 à 3</w:t>
      </w:r>
      <w:r w:rsidR="008A1E02">
        <w:rPr>
          <w:bCs/>
          <w:iCs/>
        </w:rPr>
        <w:t>1</w:t>
      </w:r>
      <w:r>
        <w:rPr>
          <w:bCs/>
          <w:iCs/>
        </w:rPr>
        <w:t xml:space="preserve"> cm ; S</w:t>
      </w:r>
      <w:r w:rsidRPr="00A30BC7">
        <w:rPr>
          <w:bCs/>
          <w:iCs/>
        </w:rPr>
        <w:t>able de 3</w:t>
      </w:r>
      <w:r w:rsidR="008A1E02">
        <w:rPr>
          <w:bCs/>
          <w:iCs/>
        </w:rPr>
        <w:t>2</w:t>
      </w:r>
      <w:r w:rsidRPr="00A30BC7">
        <w:rPr>
          <w:bCs/>
          <w:iCs/>
        </w:rPr>
        <w:t xml:space="preserve"> à 90 cm ; </w:t>
      </w:r>
      <w:proofErr w:type="spellStart"/>
      <w:r w:rsidRPr="00A30BC7">
        <w:rPr>
          <w:bCs/>
          <w:i/>
          <w:iCs/>
        </w:rPr>
        <w:t>Acropora</w:t>
      </w:r>
      <w:proofErr w:type="spellEnd"/>
      <w:r>
        <w:rPr>
          <w:bCs/>
          <w:iCs/>
        </w:rPr>
        <w:t xml:space="preserve"> m</w:t>
      </w:r>
      <w:r w:rsidRPr="00A30BC7">
        <w:rPr>
          <w:bCs/>
          <w:iCs/>
        </w:rPr>
        <w:t>assif de 9</w:t>
      </w:r>
      <w:r w:rsidR="008A1E02">
        <w:rPr>
          <w:bCs/>
          <w:iCs/>
        </w:rPr>
        <w:t>1</w:t>
      </w:r>
      <w:r w:rsidRPr="00A30BC7">
        <w:rPr>
          <w:bCs/>
          <w:iCs/>
        </w:rPr>
        <w:t xml:space="preserve"> à 19</w:t>
      </w:r>
      <w:r w:rsidR="008A1E02">
        <w:rPr>
          <w:bCs/>
          <w:iCs/>
        </w:rPr>
        <w:t>7</w:t>
      </w:r>
      <w:r w:rsidRPr="00A30BC7">
        <w:rPr>
          <w:bCs/>
          <w:iCs/>
        </w:rPr>
        <w:t xml:space="preserve"> </w:t>
      </w:r>
      <w:proofErr w:type="gramStart"/>
      <w:r w:rsidR="008A1E02">
        <w:rPr>
          <w:bCs/>
          <w:iCs/>
        </w:rPr>
        <w:t>c</w:t>
      </w:r>
      <w:r w:rsidRPr="00A30BC7">
        <w:rPr>
          <w:bCs/>
          <w:iCs/>
        </w:rPr>
        <w:t>m…)</w:t>
      </w:r>
      <w:proofErr w:type="gramEnd"/>
      <w:r w:rsidRPr="00A30BC7">
        <w:rPr>
          <w:bCs/>
          <w:iCs/>
        </w:rPr>
        <w:t xml:space="preserve">. </w:t>
      </w:r>
    </w:p>
    <w:p w14:paraId="678AF7E0" w14:textId="77777777" w:rsidR="00F22490" w:rsidRPr="00A30BC7" w:rsidRDefault="00F22490" w:rsidP="00F22490">
      <w:pPr>
        <w:spacing w:after="0"/>
        <w:jc w:val="both"/>
        <w:rPr>
          <w:bCs/>
          <w:iCs/>
        </w:rPr>
      </w:pPr>
    </w:p>
    <w:p w14:paraId="2D1BC769" w14:textId="2C93051D" w:rsidR="00F22490" w:rsidRPr="00F22490" w:rsidRDefault="00F22490" w:rsidP="002A4B9A">
      <w:pPr>
        <w:spacing w:after="0"/>
        <w:jc w:val="both"/>
        <w:rPr>
          <w:b/>
          <w:i/>
        </w:rPr>
      </w:pPr>
      <w:r w:rsidRPr="00F22490">
        <w:rPr>
          <w:b/>
          <w:i/>
        </w:rPr>
        <w:t xml:space="preserve">Échantillonnage du </w:t>
      </w:r>
      <w:proofErr w:type="spellStart"/>
      <w:r w:rsidRPr="00F22490">
        <w:rPr>
          <w:b/>
          <w:i/>
        </w:rPr>
        <w:t>macrobenhtos</w:t>
      </w:r>
      <w:proofErr w:type="spellEnd"/>
      <w:r w:rsidRPr="00F22490">
        <w:rPr>
          <w:b/>
          <w:i/>
        </w:rPr>
        <w:t xml:space="preserve"> épigé</w:t>
      </w:r>
    </w:p>
    <w:p w14:paraId="1428823B" w14:textId="77777777" w:rsidR="00F22490" w:rsidRDefault="00F22490" w:rsidP="00F22490">
      <w:pPr>
        <w:spacing w:after="0"/>
        <w:jc w:val="both"/>
        <w:rPr>
          <w:bCs/>
          <w:iCs/>
        </w:rPr>
      </w:pPr>
      <w:r>
        <w:rPr>
          <w:bCs/>
          <w:iCs/>
        </w:rPr>
        <w:t xml:space="preserve">Le </w:t>
      </w:r>
      <w:proofErr w:type="spellStart"/>
      <w:r>
        <w:rPr>
          <w:bCs/>
          <w:iCs/>
        </w:rPr>
        <w:t>macrobenthos</w:t>
      </w:r>
      <w:proofErr w:type="spellEnd"/>
      <w:r>
        <w:rPr>
          <w:bCs/>
          <w:iCs/>
        </w:rPr>
        <w:t xml:space="preserve"> épigé est étudié dans</w:t>
      </w:r>
      <w:r w:rsidRPr="001032C0">
        <w:rPr>
          <w:bCs/>
          <w:iCs/>
        </w:rPr>
        <w:t xml:space="preserve"> un couloir de 2,5 m de chaque côté du </w:t>
      </w:r>
      <w:proofErr w:type="spellStart"/>
      <w:r w:rsidRPr="001032C0">
        <w:rPr>
          <w:bCs/>
          <w:iCs/>
        </w:rPr>
        <w:t>transect</w:t>
      </w:r>
      <w:proofErr w:type="spellEnd"/>
      <w:r w:rsidRPr="001032C0">
        <w:rPr>
          <w:bCs/>
          <w:iCs/>
        </w:rPr>
        <w:t xml:space="preserve"> (i.e. 100 m</w:t>
      </w:r>
      <w:r w:rsidRPr="001032C0">
        <w:rPr>
          <w:bCs/>
          <w:iCs/>
          <w:vertAlign w:val="superscript"/>
        </w:rPr>
        <w:t>2</w:t>
      </w:r>
      <w:r>
        <w:rPr>
          <w:bCs/>
          <w:iCs/>
        </w:rPr>
        <w:t xml:space="preserve"> au total). Le comptage est exigé sur les espèces visibles (non cryptiques) qui mesurent au moins 1 cm dans leur plus grande longueur :</w:t>
      </w:r>
    </w:p>
    <w:p w14:paraId="7118C6EE" w14:textId="77777777" w:rsidR="00F22490" w:rsidRDefault="00F22490" w:rsidP="00F22490">
      <w:pPr>
        <w:spacing w:after="0"/>
        <w:jc w:val="both"/>
        <w:rPr>
          <w:bCs/>
          <w:iCs/>
        </w:rPr>
      </w:pPr>
      <w:r w:rsidRPr="00410234">
        <w:rPr>
          <w:bCs/>
          <w:iCs/>
        </w:rPr>
        <w:t xml:space="preserve">- </w:t>
      </w:r>
      <w:r>
        <w:rPr>
          <w:bCs/>
          <w:iCs/>
        </w:rPr>
        <w:t xml:space="preserve">Comptage exhaustive des échinodermes déterminés au niveau de l’espèce exception faite des crinoïdes et des ophiures dénombrées et identifiées au niveau de la famille dans cet état de référence. </w:t>
      </w:r>
    </w:p>
    <w:p w14:paraId="5E948CD3" w14:textId="12317221" w:rsidR="00F22490" w:rsidRDefault="00F22490" w:rsidP="00F22490">
      <w:pPr>
        <w:spacing w:after="0"/>
        <w:jc w:val="both"/>
        <w:rPr>
          <w:bCs/>
          <w:iCs/>
        </w:rPr>
      </w:pPr>
      <w:r>
        <w:rPr>
          <w:bCs/>
          <w:iCs/>
        </w:rPr>
        <w:t>- Comptage exhaustive des mollusques déterminés</w:t>
      </w:r>
      <w:r w:rsidRPr="008F7B22">
        <w:rPr>
          <w:bCs/>
          <w:iCs/>
        </w:rPr>
        <w:t xml:space="preserve"> </w:t>
      </w:r>
      <w:r>
        <w:rPr>
          <w:bCs/>
          <w:iCs/>
        </w:rPr>
        <w:t xml:space="preserve">au niveau de l’espèce. Les </w:t>
      </w:r>
      <w:proofErr w:type="spellStart"/>
      <w:r>
        <w:rPr>
          <w:bCs/>
          <w:iCs/>
        </w:rPr>
        <w:t>trocas</w:t>
      </w:r>
      <w:proofErr w:type="spellEnd"/>
      <w:r>
        <w:rPr>
          <w:bCs/>
          <w:iCs/>
        </w:rPr>
        <w:t xml:space="preserve"> (diamètre max à la base) et bénitiers (longueur max) sont </w:t>
      </w:r>
      <w:r w:rsidR="008A1E02">
        <w:rPr>
          <w:bCs/>
          <w:iCs/>
        </w:rPr>
        <w:t xml:space="preserve">inventoriés et </w:t>
      </w:r>
      <w:r>
        <w:rPr>
          <w:bCs/>
          <w:iCs/>
        </w:rPr>
        <w:t>mesurés.</w:t>
      </w:r>
    </w:p>
    <w:p w14:paraId="03EB57F1" w14:textId="77777777" w:rsidR="00F22490" w:rsidRDefault="00F22490" w:rsidP="00F22490">
      <w:pPr>
        <w:spacing w:after="0"/>
        <w:jc w:val="both"/>
        <w:rPr>
          <w:bCs/>
          <w:iCs/>
        </w:rPr>
      </w:pPr>
      <w:r w:rsidRPr="00410234">
        <w:rPr>
          <w:bCs/>
          <w:iCs/>
        </w:rPr>
        <w:t>-</w:t>
      </w:r>
      <w:r>
        <w:rPr>
          <w:bCs/>
          <w:iCs/>
        </w:rPr>
        <w:t xml:space="preserve"> L’éponge </w:t>
      </w:r>
      <w:proofErr w:type="spellStart"/>
      <w:r>
        <w:rPr>
          <w:bCs/>
          <w:iCs/>
        </w:rPr>
        <w:t>clione</w:t>
      </w:r>
      <w:proofErr w:type="spellEnd"/>
      <w:r w:rsidRPr="00410234">
        <w:rPr>
          <w:bCs/>
          <w:iCs/>
        </w:rPr>
        <w:t>,</w:t>
      </w:r>
    </w:p>
    <w:p w14:paraId="7699717E" w14:textId="77777777" w:rsidR="00F22490" w:rsidRPr="00410234" w:rsidRDefault="00F22490" w:rsidP="00F22490">
      <w:pPr>
        <w:spacing w:after="0"/>
        <w:jc w:val="both"/>
        <w:rPr>
          <w:bCs/>
          <w:iCs/>
        </w:rPr>
      </w:pPr>
      <w:r>
        <w:rPr>
          <w:bCs/>
          <w:iCs/>
        </w:rPr>
        <w:t>- Crustacés décapodes (</w:t>
      </w:r>
      <w:r w:rsidRPr="00A768FF">
        <w:rPr>
          <w:bCs/>
          <w:i/>
          <w:iCs/>
        </w:rPr>
        <w:t>a minima</w:t>
      </w:r>
      <w:r>
        <w:rPr>
          <w:bCs/>
          <w:iCs/>
        </w:rPr>
        <w:t xml:space="preserve"> les </w:t>
      </w:r>
      <w:proofErr w:type="spellStart"/>
      <w:r>
        <w:rPr>
          <w:bCs/>
          <w:iCs/>
        </w:rPr>
        <w:t>Palinuridae</w:t>
      </w:r>
      <w:proofErr w:type="spellEnd"/>
      <w:r>
        <w:rPr>
          <w:bCs/>
          <w:iCs/>
        </w:rPr>
        <w:t xml:space="preserve"> -langoustes-, et les </w:t>
      </w:r>
      <w:proofErr w:type="spellStart"/>
      <w:r>
        <w:rPr>
          <w:bCs/>
          <w:iCs/>
        </w:rPr>
        <w:t>Scyllaridae</w:t>
      </w:r>
      <w:proofErr w:type="spellEnd"/>
      <w:r>
        <w:rPr>
          <w:bCs/>
          <w:iCs/>
        </w:rPr>
        <w:t xml:space="preserve"> -cigales et </w:t>
      </w:r>
      <w:proofErr w:type="spellStart"/>
      <w:r>
        <w:rPr>
          <w:bCs/>
          <w:iCs/>
        </w:rPr>
        <w:t>popinées</w:t>
      </w:r>
      <w:proofErr w:type="spellEnd"/>
      <w:r>
        <w:rPr>
          <w:bCs/>
          <w:iCs/>
        </w:rPr>
        <w:t>-)</w:t>
      </w:r>
    </w:p>
    <w:p w14:paraId="0E209CB5" w14:textId="77777777" w:rsidR="00F22490" w:rsidRDefault="00F22490" w:rsidP="002A4B9A">
      <w:pPr>
        <w:spacing w:after="0"/>
        <w:jc w:val="both"/>
      </w:pPr>
    </w:p>
    <w:p w14:paraId="0A234D83" w14:textId="1A087D15" w:rsidR="00C72A48" w:rsidRPr="00C72A48" w:rsidRDefault="00C72A48" w:rsidP="002A4B9A">
      <w:pPr>
        <w:spacing w:after="0"/>
        <w:jc w:val="both"/>
        <w:rPr>
          <w:b/>
          <w:i/>
        </w:rPr>
      </w:pPr>
      <w:r w:rsidRPr="00C72A48">
        <w:rPr>
          <w:b/>
          <w:i/>
        </w:rPr>
        <w:t>Échantillonnage des poissons</w:t>
      </w:r>
    </w:p>
    <w:p w14:paraId="29DDAF83" w14:textId="77777777" w:rsidR="00C72A48" w:rsidRPr="001032C0" w:rsidRDefault="00C72A48" w:rsidP="00C72A48">
      <w:pPr>
        <w:spacing w:after="0"/>
        <w:jc w:val="both"/>
        <w:rPr>
          <w:bCs/>
          <w:iCs/>
        </w:rPr>
      </w:pPr>
      <w:r w:rsidRPr="001032C0">
        <w:rPr>
          <w:bCs/>
          <w:iCs/>
        </w:rPr>
        <w:t xml:space="preserve">Les poissons récifaux doivent être échantillonnés </w:t>
      </w:r>
      <w:r>
        <w:rPr>
          <w:bCs/>
          <w:iCs/>
        </w:rPr>
        <w:t>par comptage visuel sous-marin</w:t>
      </w:r>
      <w:r w:rsidRPr="001032C0">
        <w:rPr>
          <w:bCs/>
          <w:iCs/>
        </w:rPr>
        <w:t xml:space="preserve">, selon la méthode des </w:t>
      </w:r>
      <w:proofErr w:type="spellStart"/>
      <w:r w:rsidRPr="001032C0">
        <w:rPr>
          <w:bCs/>
          <w:iCs/>
        </w:rPr>
        <w:t>transects</w:t>
      </w:r>
      <w:proofErr w:type="spellEnd"/>
      <w:r w:rsidRPr="001032C0">
        <w:rPr>
          <w:bCs/>
          <w:iCs/>
        </w:rPr>
        <w:t xml:space="preserve"> à largeur variable (</w:t>
      </w:r>
      <w:proofErr w:type="spellStart"/>
      <w:r w:rsidRPr="001032C0">
        <w:rPr>
          <w:bCs/>
          <w:iCs/>
        </w:rPr>
        <w:t>Kulbicki</w:t>
      </w:r>
      <w:proofErr w:type="spellEnd"/>
      <w:r w:rsidRPr="001032C0">
        <w:rPr>
          <w:bCs/>
          <w:iCs/>
        </w:rPr>
        <w:t xml:space="preserve"> </w:t>
      </w:r>
      <w:r>
        <w:rPr>
          <w:bCs/>
          <w:iCs/>
        </w:rPr>
        <w:t xml:space="preserve">et </w:t>
      </w:r>
      <w:proofErr w:type="spellStart"/>
      <w:r>
        <w:rPr>
          <w:bCs/>
          <w:iCs/>
        </w:rPr>
        <w:t>Sarramé</w:t>
      </w:r>
      <w:r w:rsidRPr="001032C0">
        <w:rPr>
          <w:bCs/>
          <w:iCs/>
        </w:rPr>
        <w:t>gna</w:t>
      </w:r>
      <w:proofErr w:type="spellEnd"/>
      <w:r w:rsidRPr="001032C0">
        <w:rPr>
          <w:bCs/>
          <w:iCs/>
        </w:rPr>
        <w:t>, 1999</w:t>
      </w:r>
      <w:r>
        <w:rPr>
          <w:rStyle w:val="Marquenotebasdepage"/>
          <w:bCs/>
          <w:iCs/>
        </w:rPr>
        <w:footnoteReference w:id="2"/>
      </w:r>
      <w:r w:rsidRPr="001032C0">
        <w:rPr>
          <w:bCs/>
          <w:iCs/>
        </w:rPr>
        <w:t>).</w:t>
      </w:r>
    </w:p>
    <w:p w14:paraId="38A305E3" w14:textId="77777777" w:rsidR="00C72A48" w:rsidRDefault="00C72A48" w:rsidP="00C72A48">
      <w:pPr>
        <w:spacing w:after="0"/>
        <w:jc w:val="both"/>
        <w:rPr>
          <w:bCs/>
          <w:iCs/>
        </w:rPr>
      </w:pPr>
      <w:r w:rsidRPr="001032C0">
        <w:rPr>
          <w:bCs/>
          <w:iCs/>
        </w:rPr>
        <w:t xml:space="preserve">Un ou deux plongeurs progressent le long du </w:t>
      </w:r>
      <w:proofErr w:type="spellStart"/>
      <w:r w:rsidRPr="001032C0">
        <w:rPr>
          <w:bCs/>
          <w:iCs/>
        </w:rPr>
        <w:t>transect</w:t>
      </w:r>
      <w:proofErr w:type="spellEnd"/>
      <w:r w:rsidRPr="001032C0">
        <w:rPr>
          <w:bCs/>
          <w:iCs/>
        </w:rPr>
        <w:t xml:space="preserve"> et comptent</w:t>
      </w:r>
      <w:r>
        <w:rPr>
          <w:bCs/>
          <w:iCs/>
        </w:rPr>
        <w:t xml:space="preserve"> ces espèces de part et d’autre. </w:t>
      </w:r>
      <w:r w:rsidRPr="001032C0">
        <w:rPr>
          <w:bCs/>
          <w:iCs/>
        </w:rPr>
        <w:t>Au cours de cette opération les plongeurs notent pour chaque espèce, le no</w:t>
      </w:r>
      <w:r>
        <w:rPr>
          <w:bCs/>
          <w:iCs/>
        </w:rPr>
        <w:t>mbre d’individus, estiment leur taille</w:t>
      </w:r>
      <w:r w:rsidRPr="001032C0">
        <w:rPr>
          <w:bCs/>
          <w:iCs/>
        </w:rPr>
        <w:t xml:space="preserve"> </w:t>
      </w:r>
      <w:r>
        <w:rPr>
          <w:bCs/>
          <w:iCs/>
        </w:rPr>
        <w:t xml:space="preserve">à la fourche </w:t>
      </w:r>
      <w:r w:rsidRPr="001032C0">
        <w:rPr>
          <w:bCs/>
          <w:iCs/>
        </w:rPr>
        <w:t>et leur distan</w:t>
      </w:r>
      <w:r>
        <w:rPr>
          <w:bCs/>
          <w:iCs/>
        </w:rPr>
        <w:t xml:space="preserve">ce perpendiculairement au </w:t>
      </w:r>
      <w:proofErr w:type="spellStart"/>
      <w:r>
        <w:rPr>
          <w:bCs/>
          <w:iCs/>
        </w:rPr>
        <w:t>transect</w:t>
      </w:r>
      <w:proofErr w:type="spellEnd"/>
      <w:r>
        <w:rPr>
          <w:bCs/>
          <w:iCs/>
        </w:rPr>
        <w:t xml:space="preserve"> (maximum 15 m)</w:t>
      </w:r>
      <w:r w:rsidRPr="001032C0">
        <w:rPr>
          <w:bCs/>
          <w:iCs/>
        </w:rPr>
        <w:t xml:space="preserve">. </w:t>
      </w:r>
    </w:p>
    <w:p w14:paraId="6125B260" w14:textId="77777777" w:rsidR="00C72A48" w:rsidRDefault="00C72A48" w:rsidP="00C72A48">
      <w:pPr>
        <w:spacing w:after="0"/>
        <w:jc w:val="both"/>
        <w:rPr>
          <w:bCs/>
          <w:iCs/>
        </w:rPr>
      </w:pPr>
      <w:r>
        <w:rPr>
          <w:bCs/>
          <w:iCs/>
        </w:rPr>
        <w:lastRenderedPageBreak/>
        <w:t xml:space="preserve">Les comptages doivent s’opérer dans des conditions de visibilité de détection horizontale ≥ 5 m. La distance maximale de détection autorisée est de 15 m de part et d’autre du </w:t>
      </w:r>
      <w:proofErr w:type="spellStart"/>
      <w:r>
        <w:rPr>
          <w:bCs/>
          <w:iCs/>
        </w:rPr>
        <w:t>transect</w:t>
      </w:r>
      <w:proofErr w:type="spellEnd"/>
      <w:r>
        <w:rPr>
          <w:bCs/>
          <w:iCs/>
        </w:rPr>
        <w:t xml:space="preserve">. Tout poisson observé au delà de 15 m du </w:t>
      </w:r>
      <w:proofErr w:type="spellStart"/>
      <w:r>
        <w:rPr>
          <w:bCs/>
          <w:iCs/>
        </w:rPr>
        <w:t>transect</w:t>
      </w:r>
      <w:proofErr w:type="spellEnd"/>
      <w:r>
        <w:rPr>
          <w:bCs/>
          <w:iCs/>
        </w:rPr>
        <w:t xml:space="preserve"> n’est pas comptabilisé. </w:t>
      </w:r>
    </w:p>
    <w:p w14:paraId="373F4E7D" w14:textId="75E65D2F" w:rsidR="00131218" w:rsidRDefault="00C72A48" w:rsidP="00C72A48">
      <w:pPr>
        <w:spacing w:after="0"/>
        <w:jc w:val="both"/>
        <w:rPr>
          <w:bCs/>
          <w:iCs/>
        </w:rPr>
      </w:pPr>
      <w:r>
        <w:rPr>
          <w:bCs/>
          <w:iCs/>
        </w:rPr>
        <w:t>Un comptage total de l’</w:t>
      </w:r>
      <w:proofErr w:type="spellStart"/>
      <w:r>
        <w:rPr>
          <w:bCs/>
          <w:iCs/>
        </w:rPr>
        <w:t>ichtyofaune</w:t>
      </w:r>
      <w:proofErr w:type="spellEnd"/>
      <w:r>
        <w:rPr>
          <w:bCs/>
          <w:iCs/>
        </w:rPr>
        <w:t xml:space="preserve"> est exigé (consulter la liste d’espèce de </w:t>
      </w:r>
      <w:proofErr w:type="spellStart"/>
      <w:r>
        <w:rPr>
          <w:bCs/>
          <w:iCs/>
        </w:rPr>
        <w:t>Fricke</w:t>
      </w:r>
      <w:proofErr w:type="spellEnd"/>
      <w:r>
        <w:rPr>
          <w:bCs/>
          <w:iCs/>
        </w:rPr>
        <w:t xml:space="preserve"> et </w:t>
      </w:r>
      <w:proofErr w:type="spellStart"/>
      <w:r>
        <w:rPr>
          <w:bCs/>
          <w:iCs/>
        </w:rPr>
        <w:t>Kulbicki</w:t>
      </w:r>
      <w:proofErr w:type="spellEnd"/>
      <w:r>
        <w:rPr>
          <w:bCs/>
          <w:iCs/>
        </w:rPr>
        <w:t>, 2007</w:t>
      </w:r>
      <w:r>
        <w:rPr>
          <w:rStyle w:val="Marquenotebasdepage"/>
          <w:bCs/>
          <w:iCs/>
        </w:rPr>
        <w:footnoteReference w:id="3"/>
      </w:r>
      <w:r>
        <w:rPr>
          <w:bCs/>
          <w:iCs/>
        </w:rPr>
        <w:t>)</w:t>
      </w:r>
      <w:r w:rsidR="00131218">
        <w:rPr>
          <w:bCs/>
          <w:iCs/>
        </w:rPr>
        <w:t>.</w:t>
      </w:r>
    </w:p>
    <w:p w14:paraId="417B2C2F" w14:textId="77777777" w:rsidR="00EB76BB" w:rsidRDefault="00EB76BB" w:rsidP="00C72A48">
      <w:pPr>
        <w:spacing w:after="0"/>
        <w:jc w:val="both"/>
        <w:rPr>
          <w:bCs/>
          <w:iCs/>
        </w:rPr>
      </w:pPr>
    </w:p>
    <w:p w14:paraId="4318A513" w14:textId="6F62B8F4" w:rsidR="00C72A48" w:rsidRPr="00C72A48" w:rsidRDefault="00C72A48" w:rsidP="00C72A48">
      <w:pPr>
        <w:spacing w:after="0"/>
        <w:jc w:val="both"/>
        <w:rPr>
          <w:b/>
        </w:rPr>
      </w:pPr>
      <w:r w:rsidRPr="00C72A48">
        <w:rPr>
          <w:b/>
        </w:rPr>
        <w:sym w:font="Wingdings" w:char="F0E0"/>
      </w:r>
      <w:r w:rsidRPr="00C72A48">
        <w:rPr>
          <w:b/>
        </w:rPr>
        <w:t>Stratégie d’échantillonnage</w:t>
      </w:r>
    </w:p>
    <w:p w14:paraId="62D0397A" w14:textId="439C08AC" w:rsidR="00C72A48" w:rsidRDefault="00C72A48" w:rsidP="00C72A48">
      <w:pPr>
        <w:spacing w:after="0"/>
        <w:jc w:val="both"/>
      </w:pPr>
      <w:r>
        <w:t xml:space="preserve">Les missions organisées pour réaliser cet inventaire doivent être regroupées sur une période maximale d’une semaine. La période préconisée </w:t>
      </w:r>
      <w:r w:rsidRPr="009B054A">
        <w:t>est</w:t>
      </w:r>
      <w:r w:rsidRPr="009B054A">
        <w:rPr>
          <w:u w:val="single"/>
        </w:rPr>
        <w:t xml:space="preserve"> l</w:t>
      </w:r>
      <w:r w:rsidR="00004212" w:rsidRPr="009B054A">
        <w:rPr>
          <w:u w:val="single"/>
        </w:rPr>
        <w:t>e mois d’octobre</w:t>
      </w:r>
      <w:r w:rsidR="0012200A">
        <w:rPr>
          <w:u w:val="single"/>
        </w:rPr>
        <w:t xml:space="preserve"> (jusqu’au 10 novembre au plus tard)</w:t>
      </w:r>
      <w:r w:rsidR="00004212">
        <w:t>.</w:t>
      </w:r>
    </w:p>
    <w:p w14:paraId="6939EA57" w14:textId="77777777" w:rsidR="00C72A48" w:rsidRDefault="00C72A48" w:rsidP="00C72A48">
      <w:pPr>
        <w:spacing w:after="0"/>
        <w:jc w:val="both"/>
      </w:pPr>
      <w:r>
        <w:t xml:space="preserve">L’ensemble des communautés récifales (substrat, </w:t>
      </w:r>
      <w:proofErr w:type="spellStart"/>
      <w:r>
        <w:t>macrobenthos</w:t>
      </w:r>
      <w:proofErr w:type="spellEnd"/>
      <w:r>
        <w:t xml:space="preserve"> et poisson) est étudié au même moment pour chacune des stations. Cet effort de synchronisation d’échantillonnage permet de lier les données </w:t>
      </w:r>
      <w:proofErr w:type="spellStart"/>
      <w:r>
        <w:t>macrobenthos</w:t>
      </w:r>
      <w:proofErr w:type="spellEnd"/>
      <w:r>
        <w:t xml:space="preserve"> et poisson au substrat.</w:t>
      </w:r>
    </w:p>
    <w:p w14:paraId="6DDFF075" w14:textId="77777777" w:rsidR="00C72A48" w:rsidRPr="00867354" w:rsidRDefault="00C72A48" w:rsidP="00C72A48">
      <w:pPr>
        <w:spacing w:after="0"/>
        <w:jc w:val="both"/>
        <w:rPr>
          <w:bCs/>
          <w:iCs/>
        </w:rPr>
      </w:pPr>
      <w:r w:rsidRPr="00867354">
        <w:rPr>
          <w:bCs/>
          <w:iCs/>
        </w:rPr>
        <w:t xml:space="preserve">Pour enregistrer les </w:t>
      </w:r>
      <w:r>
        <w:rPr>
          <w:bCs/>
          <w:iCs/>
        </w:rPr>
        <w:t>poissons</w:t>
      </w:r>
      <w:r w:rsidRPr="00867354">
        <w:rPr>
          <w:bCs/>
          <w:iCs/>
        </w:rPr>
        <w:t xml:space="preserve"> </w:t>
      </w:r>
      <w:r w:rsidRPr="00C37B16">
        <w:rPr>
          <w:bCs/>
          <w:iCs/>
        </w:rPr>
        <w:t>farouches avant qu’</w:t>
      </w:r>
      <w:r>
        <w:rPr>
          <w:bCs/>
          <w:iCs/>
        </w:rPr>
        <w:t>ils</w:t>
      </w:r>
      <w:r w:rsidRPr="00C37B16">
        <w:rPr>
          <w:bCs/>
          <w:iCs/>
        </w:rPr>
        <w:t xml:space="preserve"> ne s’éloignent, le comptage de poissons s’effectue au début de l’immersion, avant la description du substrat et du </w:t>
      </w:r>
      <w:proofErr w:type="spellStart"/>
      <w:r w:rsidRPr="00C37B16">
        <w:rPr>
          <w:bCs/>
          <w:iCs/>
        </w:rPr>
        <w:t>macrobenthos</w:t>
      </w:r>
      <w:proofErr w:type="spellEnd"/>
      <w:r w:rsidRPr="00C37B16">
        <w:rPr>
          <w:bCs/>
          <w:iCs/>
        </w:rPr>
        <w:t>.</w:t>
      </w:r>
      <w:r w:rsidRPr="00867354">
        <w:rPr>
          <w:bCs/>
          <w:iCs/>
        </w:rPr>
        <w:t xml:space="preserve"> </w:t>
      </w:r>
    </w:p>
    <w:p w14:paraId="0B8AA99E" w14:textId="77777777" w:rsidR="00C72A48" w:rsidRDefault="00C72A48" w:rsidP="002A4B9A">
      <w:pPr>
        <w:spacing w:after="0"/>
        <w:jc w:val="both"/>
      </w:pPr>
    </w:p>
    <w:p w14:paraId="3DF24AD7" w14:textId="2ADFA0A9" w:rsidR="000D161F" w:rsidRPr="000D161F" w:rsidRDefault="000D161F" w:rsidP="000D161F">
      <w:pPr>
        <w:spacing w:after="0"/>
        <w:rPr>
          <w:b/>
        </w:rPr>
      </w:pPr>
      <w:r w:rsidRPr="000D161F">
        <w:rPr>
          <w:b/>
        </w:rPr>
        <w:sym w:font="Wingdings" w:char="F0E0"/>
      </w:r>
      <w:r w:rsidRPr="000D161F">
        <w:rPr>
          <w:b/>
        </w:rPr>
        <w:t>Contrôle qualité</w:t>
      </w:r>
    </w:p>
    <w:p w14:paraId="132DFDC3" w14:textId="77777777" w:rsidR="000D161F" w:rsidRDefault="000D161F" w:rsidP="00131218">
      <w:pPr>
        <w:spacing w:after="0"/>
        <w:jc w:val="both"/>
      </w:pPr>
      <w:r>
        <w:t>Les fiches terrain contenant les données brutes seront transmises à l’OEIL (LIT, feuilles de comptage benthos et poisson).</w:t>
      </w:r>
    </w:p>
    <w:p w14:paraId="666CEBA4" w14:textId="07B82989" w:rsidR="000D161F" w:rsidRDefault="000D161F" w:rsidP="00131218">
      <w:pPr>
        <w:spacing w:after="0"/>
        <w:jc w:val="both"/>
      </w:pPr>
      <w:r>
        <w:t xml:space="preserve">Un membre de l’OEIL  (membre du Conseil Scientifique, </w:t>
      </w:r>
      <w:r w:rsidR="00F365C2">
        <w:t xml:space="preserve">ou </w:t>
      </w:r>
      <w:r>
        <w:t>directeur</w:t>
      </w:r>
      <w:r w:rsidR="00F365C2">
        <w:t>, ou pilote de projet</w:t>
      </w:r>
      <w:r>
        <w:t>) accompagnera le prestataire au début de l’échantillonnage afin de vérifier la bonne mise en œuvre des protocoles et le positionnement des stations.</w:t>
      </w:r>
    </w:p>
    <w:p w14:paraId="4074050B" w14:textId="792D5D95" w:rsidR="000D161F" w:rsidRDefault="00F365C2" w:rsidP="009D39FD">
      <w:pPr>
        <w:spacing w:after="0"/>
        <w:jc w:val="both"/>
      </w:pPr>
      <w:r>
        <w:t xml:space="preserve">Le recrutement des </w:t>
      </w:r>
      <w:r w:rsidR="000D161F">
        <w:t>scientifiques engagés par le prestataire pour réaliser l’étude devr</w:t>
      </w:r>
      <w:r>
        <w:t>a</w:t>
      </w:r>
      <w:r w:rsidR="000D161F">
        <w:t xml:space="preserve"> être validé par l’OEIL. Le nom des biologistes en charge de la description du LIT, du </w:t>
      </w:r>
      <w:proofErr w:type="spellStart"/>
      <w:r w:rsidR="000D161F">
        <w:t>macrobenthos</w:t>
      </w:r>
      <w:proofErr w:type="spellEnd"/>
      <w:r w:rsidR="000D161F">
        <w:t xml:space="preserve"> et des poissons est référencé pour chacun des </w:t>
      </w:r>
      <w:proofErr w:type="spellStart"/>
      <w:r w:rsidR="000D161F">
        <w:t>transects</w:t>
      </w:r>
      <w:proofErr w:type="spellEnd"/>
      <w:r w:rsidR="009D39FD">
        <w:t>.</w:t>
      </w:r>
    </w:p>
    <w:p w14:paraId="41BFCB44" w14:textId="77777777" w:rsidR="009D39FD" w:rsidRDefault="009D39FD" w:rsidP="009D39FD">
      <w:pPr>
        <w:spacing w:after="0"/>
        <w:jc w:val="both"/>
      </w:pPr>
    </w:p>
    <w:p w14:paraId="3A36AB0C" w14:textId="56AEA7F9" w:rsidR="00F5315F" w:rsidRDefault="00F235CC" w:rsidP="002A4B9A">
      <w:pPr>
        <w:spacing w:after="0"/>
        <w:jc w:val="both"/>
        <w:rPr>
          <w:b/>
          <w:sz w:val="28"/>
        </w:rPr>
      </w:pPr>
      <w:r>
        <w:rPr>
          <w:b/>
          <w:sz w:val="28"/>
        </w:rPr>
        <w:t xml:space="preserve">(ii) </w:t>
      </w:r>
      <w:r w:rsidR="00432396">
        <w:rPr>
          <w:b/>
          <w:sz w:val="28"/>
        </w:rPr>
        <w:t>Diagnostic de</w:t>
      </w:r>
      <w:r w:rsidR="00B03B83">
        <w:rPr>
          <w:b/>
          <w:sz w:val="28"/>
        </w:rPr>
        <w:t xml:space="preserve"> l’état </w:t>
      </w:r>
      <w:r w:rsidR="00432396">
        <w:rPr>
          <w:b/>
          <w:sz w:val="28"/>
        </w:rPr>
        <w:t xml:space="preserve">de santé </w:t>
      </w:r>
      <w:r w:rsidR="00B03B83">
        <w:rPr>
          <w:b/>
          <w:sz w:val="28"/>
        </w:rPr>
        <w:t>des communautés récifales</w:t>
      </w:r>
      <w:r w:rsidR="00BD1DF3">
        <w:rPr>
          <w:b/>
          <w:sz w:val="28"/>
        </w:rPr>
        <w:t xml:space="preserve"> et son évolution</w:t>
      </w:r>
    </w:p>
    <w:p w14:paraId="7A673103" w14:textId="77777777" w:rsidR="0043675E" w:rsidRDefault="0043675E" w:rsidP="0043675E">
      <w:pPr>
        <w:spacing w:after="0"/>
        <w:jc w:val="both"/>
      </w:pPr>
      <w:r>
        <w:t>Les analyses des données doivent tendre à répondre aux questions suivantes :</w:t>
      </w:r>
    </w:p>
    <w:p w14:paraId="63D035BA" w14:textId="36E84314" w:rsidR="0043675E" w:rsidRDefault="0043675E" w:rsidP="0043675E">
      <w:pPr>
        <w:spacing w:after="0"/>
        <w:jc w:val="both"/>
      </w:pPr>
      <w:r>
        <w:t xml:space="preserve">- Quel est l’état de santé des communautés récifales des </w:t>
      </w:r>
      <w:r w:rsidR="00F365C2">
        <w:t>deux</w:t>
      </w:r>
      <w:r>
        <w:t xml:space="preserve"> baies en 2014 ?</w:t>
      </w:r>
    </w:p>
    <w:p w14:paraId="45AA0127" w14:textId="77777777" w:rsidR="0043675E" w:rsidRDefault="0043675E" w:rsidP="0043675E">
      <w:pPr>
        <w:spacing w:after="0"/>
        <w:jc w:val="both"/>
      </w:pPr>
      <w:r>
        <w:t>- L’empreinte de l’impact des fortes précipitations de juillet de 2013 est-elle encore visible sur les communautés des deux baies</w:t>
      </w:r>
      <w:r>
        <w:rPr>
          <w:rStyle w:val="Marquenotebasdepage"/>
        </w:rPr>
        <w:footnoteReference w:id="4"/>
      </w:r>
      <w:r>
        <w:t> ?</w:t>
      </w:r>
    </w:p>
    <w:p w14:paraId="25FB142E" w14:textId="056ECFC1" w:rsidR="0043675E" w:rsidRDefault="0043675E" w:rsidP="0043675E">
      <w:pPr>
        <w:spacing w:after="0"/>
        <w:jc w:val="both"/>
      </w:pPr>
      <w:r>
        <w:t xml:space="preserve">- Comment ont évoluées les communautés de ces deux </w:t>
      </w:r>
      <w:r w:rsidRPr="00625E5F">
        <w:t>baies au cours du temps</w:t>
      </w:r>
      <w:r>
        <w:t> </w:t>
      </w:r>
      <w:r w:rsidR="00625E5F">
        <w:t>(les première</w:t>
      </w:r>
      <w:r w:rsidR="00432396">
        <w:t>s</w:t>
      </w:r>
      <w:bookmarkStart w:id="0" w:name="_GoBack"/>
      <w:bookmarkEnd w:id="0"/>
      <w:r w:rsidR="00625E5F">
        <w:t xml:space="preserve"> données disponibles remontent à 1994) </w:t>
      </w:r>
      <w:r>
        <w:t>?</w:t>
      </w:r>
    </w:p>
    <w:p w14:paraId="778059E6" w14:textId="77777777" w:rsidR="0043675E" w:rsidRDefault="0043675E" w:rsidP="0043675E">
      <w:pPr>
        <w:spacing w:after="0"/>
        <w:jc w:val="both"/>
      </w:pPr>
    </w:p>
    <w:p w14:paraId="2A93849D" w14:textId="3E1EE051" w:rsidR="007D7081" w:rsidRDefault="007D7081" w:rsidP="009D39FD">
      <w:pPr>
        <w:spacing w:after="0"/>
        <w:jc w:val="both"/>
      </w:pPr>
      <w:r>
        <w:t xml:space="preserve">L’objectif n’est pas </w:t>
      </w:r>
      <w:r w:rsidR="009D39FD">
        <w:t>simplement d’étudier</w:t>
      </w:r>
      <w:r>
        <w:t xml:space="preserve"> </w:t>
      </w:r>
      <w:r w:rsidR="009D39FD">
        <w:t xml:space="preserve"> </w:t>
      </w:r>
      <w:r>
        <w:t xml:space="preserve">l’évolution des stations dans le temps, mais l’évolution des </w:t>
      </w:r>
      <w:r w:rsidR="009D39FD">
        <w:t>groupes de stations</w:t>
      </w:r>
      <w:r>
        <w:t>.</w:t>
      </w:r>
      <w:r w:rsidRPr="00E064BD">
        <w:t xml:space="preserve"> </w:t>
      </w:r>
      <w:r>
        <w:t xml:space="preserve">Les stations d’une même </w:t>
      </w:r>
      <w:r w:rsidR="009D39FD">
        <w:t>baie</w:t>
      </w:r>
      <w:r>
        <w:t xml:space="preserve"> sont considérées comme des </w:t>
      </w:r>
      <w:proofErr w:type="spellStart"/>
      <w:r>
        <w:t>pseudoréplicats</w:t>
      </w:r>
      <w:proofErr w:type="spellEnd"/>
      <w:r w:rsidR="00AC48CA">
        <w:t xml:space="preserve"> appartenant au même </w:t>
      </w:r>
      <w:r w:rsidR="00EB76BB">
        <w:t>« </w:t>
      </w:r>
      <w:r w:rsidR="00AC48CA">
        <w:t>groupe de stations</w:t>
      </w:r>
      <w:r w:rsidR="00EB76BB">
        <w:t> »</w:t>
      </w:r>
      <w:r>
        <w:t>.</w:t>
      </w:r>
    </w:p>
    <w:p w14:paraId="78535698" w14:textId="6FA72914" w:rsidR="007D7081" w:rsidRDefault="007D7081" w:rsidP="00AC48CA">
      <w:pPr>
        <w:spacing w:after="0"/>
        <w:jc w:val="both"/>
      </w:pPr>
      <w:r>
        <w:t xml:space="preserve">Chaque donnée de substrat, de </w:t>
      </w:r>
      <w:proofErr w:type="spellStart"/>
      <w:r>
        <w:t>macrobenthos</w:t>
      </w:r>
      <w:proofErr w:type="spellEnd"/>
      <w:r>
        <w:t xml:space="preserve"> et de poisson est liée à</w:t>
      </w:r>
      <w:r w:rsidR="009D39FD">
        <w:t xml:space="preserve"> un </w:t>
      </w:r>
      <w:proofErr w:type="spellStart"/>
      <w:r w:rsidR="009D39FD">
        <w:t>transect</w:t>
      </w:r>
      <w:proofErr w:type="spellEnd"/>
      <w:r w:rsidR="009D39FD">
        <w:t>, une station et un</w:t>
      </w:r>
      <w:r>
        <w:t xml:space="preserve"> </w:t>
      </w:r>
      <w:r w:rsidR="009D39FD">
        <w:t>groupe de stations (= une baie)</w:t>
      </w:r>
      <w:r>
        <w:t xml:space="preserve"> ainsi qu’aux paramètres d’échantillonnages et paramètres </w:t>
      </w:r>
      <w:r w:rsidR="0013734E">
        <w:t>e</w:t>
      </w:r>
      <w:r>
        <w:t xml:space="preserve">nvironnementaux. Le traitement s’appuie </w:t>
      </w:r>
      <w:r w:rsidR="00EB76BB">
        <w:t xml:space="preserve">donc </w:t>
      </w:r>
      <w:r>
        <w:t xml:space="preserve">sur un protocole d’échantillonnage stratifié, chaque </w:t>
      </w:r>
      <w:r w:rsidR="00EB76BB">
        <w:t xml:space="preserve">strate étant défini ici comme </w:t>
      </w:r>
      <w:r w:rsidR="009D39FD">
        <w:t>groupe de stations</w:t>
      </w:r>
      <w:r>
        <w:t>.</w:t>
      </w:r>
    </w:p>
    <w:p w14:paraId="14912363" w14:textId="77777777" w:rsidR="00EB76BB" w:rsidRDefault="00EB76BB" w:rsidP="00AC48CA">
      <w:pPr>
        <w:spacing w:after="0"/>
        <w:jc w:val="both"/>
      </w:pPr>
    </w:p>
    <w:p w14:paraId="29F1971C" w14:textId="3F1B3D4F" w:rsidR="00EB76BB" w:rsidRDefault="00EB76BB" w:rsidP="00AC48CA">
      <w:pPr>
        <w:spacing w:after="0"/>
        <w:jc w:val="both"/>
      </w:pPr>
      <w:r w:rsidRPr="0012200A">
        <w:lastRenderedPageBreak/>
        <w:t>Des indications sont données ci-</w:t>
      </w:r>
      <w:r w:rsidR="0043675E" w:rsidRPr="0012200A">
        <w:t>après</w:t>
      </w:r>
      <w:r w:rsidRPr="0012200A">
        <w:t xml:space="preserve"> sur le type d’analyse attendu</w:t>
      </w:r>
      <w:r w:rsidR="0043675E" w:rsidRPr="0012200A">
        <w:t>. Le prestataire pourra cependant proposer une stratégie d’analyse différente s’il peut en justifier la pertinence.</w:t>
      </w:r>
    </w:p>
    <w:p w14:paraId="5DF9029C" w14:textId="7110A880" w:rsidR="000D161F" w:rsidRPr="000D161F" w:rsidRDefault="00BD624F" w:rsidP="000D161F">
      <w:pPr>
        <w:spacing w:after="0"/>
        <w:jc w:val="both"/>
        <w:rPr>
          <w:b/>
          <w:bCs/>
          <w:iCs/>
        </w:rPr>
      </w:pPr>
      <w:r w:rsidRPr="00BD624F">
        <w:rPr>
          <w:b/>
          <w:bCs/>
          <w:iCs/>
        </w:rPr>
        <w:sym w:font="Wingdings" w:char="F0E0"/>
      </w:r>
      <w:r>
        <w:rPr>
          <w:b/>
          <w:bCs/>
          <w:iCs/>
        </w:rPr>
        <w:t xml:space="preserve"> </w:t>
      </w:r>
      <w:r w:rsidR="000D161F" w:rsidRPr="000D161F">
        <w:rPr>
          <w:b/>
          <w:bCs/>
          <w:iCs/>
        </w:rPr>
        <w:t>Analyse des données du LIT</w:t>
      </w:r>
    </w:p>
    <w:p w14:paraId="0A9AF883" w14:textId="74652E8B" w:rsidR="007D7081" w:rsidRDefault="007D7081" w:rsidP="00131218">
      <w:pPr>
        <w:spacing w:after="0"/>
        <w:jc w:val="both"/>
        <w:rPr>
          <w:bCs/>
          <w:iCs/>
        </w:rPr>
      </w:pPr>
      <w:r>
        <w:rPr>
          <w:bCs/>
          <w:iCs/>
        </w:rPr>
        <w:t xml:space="preserve">Première étape : pour chaque station, les caractéristiques de l’habitat seront estimées globalement (moyenne des trois </w:t>
      </w:r>
      <w:proofErr w:type="spellStart"/>
      <w:r>
        <w:rPr>
          <w:bCs/>
          <w:iCs/>
        </w:rPr>
        <w:t>transects</w:t>
      </w:r>
      <w:proofErr w:type="spellEnd"/>
      <w:r>
        <w:rPr>
          <w:bCs/>
          <w:iCs/>
        </w:rPr>
        <w:t xml:space="preserve"> de la station) et par élément morphologique (platier, haut et bas du tombant, c'est-à-dire par </w:t>
      </w:r>
      <w:proofErr w:type="spellStart"/>
      <w:r>
        <w:rPr>
          <w:bCs/>
          <w:iCs/>
        </w:rPr>
        <w:t>transect</w:t>
      </w:r>
      <w:proofErr w:type="spellEnd"/>
      <w:r>
        <w:rPr>
          <w:bCs/>
          <w:iCs/>
        </w:rPr>
        <w:t xml:space="preserve">). </w:t>
      </w:r>
    </w:p>
    <w:p w14:paraId="763C7CF3" w14:textId="21F04E20" w:rsidR="007D7081" w:rsidRDefault="007D7081" w:rsidP="00131218">
      <w:pPr>
        <w:spacing w:after="0"/>
        <w:jc w:val="both"/>
        <w:rPr>
          <w:bCs/>
          <w:iCs/>
        </w:rPr>
      </w:pPr>
      <w:r>
        <w:rPr>
          <w:bCs/>
          <w:iCs/>
        </w:rPr>
        <w:t>Deuxième étape : l</w:t>
      </w:r>
      <w:r w:rsidRPr="00292B34">
        <w:rPr>
          <w:bCs/>
          <w:iCs/>
        </w:rPr>
        <w:t xml:space="preserve">es </w:t>
      </w:r>
      <w:r>
        <w:rPr>
          <w:bCs/>
          <w:iCs/>
        </w:rPr>
        <w:t xml:space="preserve">caractéristiques de l’habitat seront estimées pour chaque </w:t>
      </w:r>
      <w:r w:rsidR="00AC48CA">
        <w:rPr>
          <w:bCs/>
          <w:iCs/>
        </w:rPr>
        <w:t>groupe de station</w:t>
      </w:r>
      <w:r>
        <w:rPr>
          <w:bCs/>
          <w:iCs/>
        </w:rPr>
        <w:t>, et par élément morphologique.</w:t>
      </w:r>
    </w:p>
    <w:p w14:paraId="09925B6F" w14:textId="322AA4F6" w:rsidR="007D7081" w:rsidRPr="00292B34" w:rsidRDefault="007D7081" w:rsidP="00131218">
      <w:pPr>
        <w:spacing w:after="0"/>
        <w:jc w:val="both"/>
        <w:rPr>
          <w:bCs/>
          <w:iCs/>
        </w:rPr>
      </w:pPr>
      <w:r>
        <w:rPr>
          <w:bCs/>
          <w:iCs/>
        </w:rPr>
        <w:t xml:space="preserve">Troisième étape : les caractéristiques de l’habitat seront comparées entre </w:t>
      </w:r>
      <w:r w:rsidR="00AC48CA">
        <w:rPr>
          <w:bCs/>
          <w:iCs/>
        </w:rPr>
        <w:t>groupe de station</w:t>
      </w:r>
      <w:r>
        <w:rPr>
          <w:bCs/>
          <w:iCs/>
        </w:rPr>
        <w:t xml:space="preserve">, et par élément géomorphologique </w:t>
      </w:r>
      <w:r w:rsidRPr="00292B34">
        <w:rPr>
          <w:bCs/>
          <w:iCs/>
        </w:rPr>
        <w:t>à l'aide de</w:t>
      </w:r>
      <w:r>
        <w:rPr>
          <w:bCs/>
          <w:iCs/>
        </w:rPr>
        <w:t>s</w:t>
      </w:r>
      <w:r w:rsidRPr="00292B34">
        <w:rPr>
          <w:bCs/>
          <w:iCs/>
        </w:rPr>
        <w:t xml:space="preserve"> tests </w:t>
      </w:r>
      <w:r>
        <w:rPr>
          <w:bCs/>
          <w:iCs/>
        </w:rPr>
        <w:t xml:space="preserve">statistiques les plus appropriés (paramétriques, non paramétriques, </w:t>
      </w:r>
      <w:proofErr w:type="spellStart"/>
      <w:r>
        <w:rPr>
          <w:bCs/>
          <w:iCs/>
        </w:rPr>
        <w:t>GLMs</w:t>
      </w:r>
      <w:proofErr w:type="spellEnd"/>
      <w:r>
        <w:rPr>
          <w:bCs/>
          <w:iCs/>
        </w:rPr>
        <w:t>, permutations). Les choix devront être justifiés en fonction de la distribution des données</w:t>
      </w:r>
      <w:r w:rsidRPr="00292B34">
        <w:rPr>
          <w:bCs/>
          <w:iCs/>
        </w:rPr>
        <w:t xml:space="preserve">. </w:t>
      </w:r>
    </w:p>
    <w:p w14:paraId="4ECA6D0B" w14:textId="229C96BE" w:rsidR="007D7081" w:rsidRDefault="007D7081" w:rsidP="00AC48CA">
      <w:pPr>
        <w:spacing w:after="0"/>
        <w:jc w:val="both"/>
        <w:rPr>
          <w:bCs/>
          <w:iCs/>
        </w:rPr>
      </w:pPr>
      <w:r>
        <w:rPr>
          <w:bCs/>
          <w:iCs/>
        </w:rPr>
        <w:t xml:space="preserve">Quatrième étape : la structure de l’habitat sera déterminée à partir d’analyses </w:t>
      </w:r>
      <w:proofErr w:type="spellStart"/>
      <w:r>
        <w:rPr>
          <w:bCs/>
          <w:iCs/>
        </w:rPr>
        <w:t>multivariées</w:t>
      </w:r>
      <w:proofErr w:type="spellEnd"/>
      <w:r>
        <w:rPr>
          <w:bCs/>
          <w:iCs/>
        </w:rPr>
        <w:t xml:space="preserve"> (AFC, GLM, clusters) dont les choix devront être </w:t>
      </w:r>
      <w:r w:rsidR="000D161F">
        <w:rPr>
          <w:bCs/>
          <w:iCs/>
        </w:rPr>
        <w:t>justifiés</w:t>
      </w:r>
      <w:r>
        <w:rPr>
          <w:bCs/>
          <w:iCs/>
        </w:rPr>
        <w:t xml:space="preserve"> en fonction de la distribution des données</w:t>
      </w:r>
      <w:r w:rsidRPr="00292B34">
        <w:rPr>
          <w:bCs/>
          <w:iCs/>
        </w:rPr>
        <w:t>.</w:t>
      </w:r>
    </w:p>
    <w:p w14:paraId="78D2650F" w14:textId="77777777" w:rsidR="00AC48CA" w:rsidRPr="00292B34" w:rsidRDefault="00AC48CA" w:rsidP="00AC48CA">
      <w:pPr>
        <w:spacing w:after="0"/>
        <w:jc w:val="both"/>
        <w:rPr>
          <w:bCs/>
          <w:iCs/>
        </w:rPr>
      </w:pPr>
    </w:p>
    <w:p w14:paraId="357C2C37" w14:textId="259B9880" w:rsidR="000D161F" w:rsidRPr="000D161F" w:rsidRDefault="00AC48CA" w:rsidP="000D161F">
      <w:pPr>
        <w:spacing w:after="0"/>
        <w:jc w:val="both"/>
        <w:rPr>
          <w:b/>
        </w:rPr>
      </w:pPr>
      <w:r w:rsidRPr="00AC48CA">
        <w:rPr>
          <w:b/>
        </w:rPr>
        <w:sym w:font="Wingdings" w:char="F0E0"/>
      </w:r>
      <w:r>
        <w:rPr>
          <w:b/>
        </w:rPr>
        <w:t xml:space="preserve"> </w:t>
      </w:r>
      <w:r w:rsidR="000D161F" w:rsidRPr="000D161F">
        <w:rPr>
          <w:b/>
        </w:rPr>
        <w:t xml:space="preserve">Analyses des données du </w:t>
      </w:r>
      <w:proofErr w:type="spellStart"/>
      <w:r w:rsidR="000D161F" w:rsidRPr="000D161F">
        <w:rPr>
          <w:b/>
        </w:rPr>
        <w:t>macrobenthos</w:t>
      </w:r>
      <w:proofErr w:type="spellEnd"/>
    </w:p>
    <w:p w14:paraId="1AA2D1E9" w14:textId="77777777" w:rsidR="007D7081" w:rsidRDefault="007D7081" w:rsidP="007D7081">
      <w:pPr>
        <w:jc w:val="both"/>
      </w:pPr>
      <w:r>
        <w:t>Les résultats présentent par station et par groupe d’unités les éléments suivants :</w:t>
      </w:r>
    </w:p>
    <w:p w14:paraId="735B9FA6" w14:textId="77777777" w:rsidR="007D7081" w:rsidRDefault="007D7081" w:rsidP="007D7081">
      <w:pPr>
        <w:numPr>
          <w:ilvl w:val="0"/>
          <w:numId w:val="22"/>
        </w:numPr>
        <w:spacing w:after="0"/>
        <w:jc w:val="both"/>
      </w:pPr>
      <w:r>
        <w:t xml:space="preserve">liste des taxons, </w:t>
      </w:r>
    </w:p>
    <w:p w14:paraId="1D089280" w14:textId="77777777" w:rsidR="007D7081" w:rsidRDefault="007D7081" w:rsidP="007D7081">
      <w:pPr>
        <w:numPr>
          <w:ilvl w:val="0"/>
          <w:numId w:val="22"/>
        </w:numPr>
        <w:spacing w:after="0"/>
        <w:jc w:val="both"/>
      </w:pPr>
      <w:r>
        <w:t>r</w:t>
      </w:r>
      <w:r w:rsidRPr="00EC42C5">
        <w:t>ichesse spécifique</w:t>
      </w:r>
      <w:r>
        <w:t>,</w:t>
      </w:r>
    </w:p>
    <w:p w14:paraId="6CE90141" w14:textId="77777777" w:rsidR="007D7081" w:rsidRPr="00EC42C5" w:rsidRDefault="007D7081" w:rsidP="007D7081">
      <w:pPr>
        <w:numPr>
          <w:ilvl w:val="0"/>
          <w:numId w:val="22"/>
        </w:numPr>
        <w:spacing w:after="0"/>
        <w:jc w:val="both"/>
      </w:pPr>
      <w:r w:rsidRPr="00EC42C5">
        <w:t>diversité,</w:t>
      </w:r>
    </w:p>
    <w:p w14:paraId="41E202C4" w14:textId="77777777" w:rsidR="007D7081" w:rsidRDefault="007D7081" w:rsidP="007D7081">
      <w:pPr>
        <w:numPr>
          <w:ilvl w:val="0"/>
          <w:numId w:val="22"/>
        </w:numPr>
        <w:spacing w:after="0"/>
        <w:jc w:val="both"/>
      </w:pPr>
      <w:r>
        <w:t>abondance,</w:t>
      </w:r>
    </w:p>
    <w:p w14:paraId="1690DF1D" w14:textId="77777777" w:rsidR="007D7081" w:rsidRDefault="007D7081" w:rsidP="007D7081">
      <w:pPr>
        <w:numPr>
          <w:ilvl w:val="0"/>
          <w:numId w:val="22"/>
        </w:numPr>
        <w:spacing w:after="0"/>
        <w:jc w:val="both"/>
      </w:pPr>
      <w:r w:rsidRPr="00EC42C5">
        <w:t>densité</w:t>
      </w:r>
      <w:r>
        <w:t>,</w:t>
      </w:r>
    </w:p>
    <w:p w14:paraId="4ECC2111" w14:textId="77777777" w:rsidR="007D7081" w:rsidRDefault="007D7081" w:rsidP="007D7081">
      <w:pPr>
        <w:numPr>
          <w:ilvl w:val="0"/>
          <w:numId w:val="22"/>
        </w:numPr>
        <w:spacing w:after="0"/>
        <w:jc w:val="both"/>
      </w:pPr>
      <w:r>
        <w:t>fréquence de taille (</w:t>
      </w:r>
      <w:proofErr w:type="spellStart"/>
      <w:r>
        <w:t>trocas</w:t>
      </w:r>
      <w:proofErr w:type="spellEnd"/>
      <w:r>
        <w:t xml:space="preserve"> et bénitiers)</w:t>
      </w:r>
    </w:p>
    <w:p w14:paraId="6DA83CE0" w14:textId="77777777" w:rsidR="007D7081" w:rsidRDefault="007D7081" w:rsidP="00AC48CA">
      <w:pPr>
        <w:spacing w:after="0"/>
        <w:jc w:val="both"/>
      </w:pPr>
      <w:r>
        <w:t>Ces paramètres sont comparés en suivant le même protocole que le LIT.</w:t>
      </w:r>
    </w:p>
    <w:p w14:paraId="4C5B6F22" w14:textId="77777777" w:rsidR="00AC48CA" w:rsidRDefault="00AC48CA" w:rsidP="000D161F">
      <w:pPr>
        <w:spacing w:after="0"/>
        <w:jc w:val="both"/>
        <w:rPr>
          <w:b/>
        </w:rPr>
      </w:pPr>
    </w:p>
    <w:p w14:paraId="6A345F86" w14:textId="5CBCE71C" w:rsidR="007D7081" w:rsidRPr="000D161F" w:rsidRDefault="00AC48CA" w:rsidP="000D161F">
      <w:pPr>
        <w:spacing w:after="0"/>
        <w:jc w:val="both"/>
        <w:rPr>
          <w:b/>
        </w:rPr>
      </w:pPr>
      <w:r w:rsidRPr="00AC48CA">
        <w:rPr>
          <w:b/>
        </w:rPr>
        <w:sym w:font="Wingdings" w:char="F0E0"/>
      </w:r>
      <w:r>
        <w:rPr>
          <w:b/>
        </w:rPr>
        <w:t xml:space="preserve"> </w:t>
      </w:r>
      <w:r w:rsidR="000D161F" w:rsidRPr="000D161F">
        <w:rPr>
          <w:b/>
        </w:rPr>
        <w:t>Analyse des données poissons</w:t>
      </w:r>
    </w:p>
    <w:p w14:paraId="72DD7052" w14:textId="665F2A32" w:rsidR="007D7081" w:rsidRDefault="007D7081" w:rsidP="00AC48CA">
      <w:pPr>
        <w:spacing w:after="0"/>
        <w:jc w:val="both"/>
      </w:pPr>
      <w:r>
        <w:t xml:space="preserve">Les variables analysées sur les poissons sont la richesse spécifique, l’abondance, la </w:t>
      </w:r>
      <w:r w:rsidRPr="008F0EED">
        <w:t xml:space="preserve">densité et la </w:t>
      </w:r>
      <w:r>
        <w:t>biomasse.</w:t>
      </w:r>
      <w:r w:rsidR="00AC48CA">
        <w:t xml:space="preserve"> </w:t>
      </w:r>
      <w:r w:rsidRPr="008F0EED">
        <w:t xml:space="preserve">La biomasse et la densité sont ensuite analysées </w:t>
      </w:r>
      <w:r>
        <w:t xml:space="preserve">pour différentes composantes : </w:t>
      </w:r>
      <w:proofErr w:type="spellStart"/>
      <w:r>
        <w:t>ichtyofaune</w:t>
      </w:r>
      <w:proofErr w:type="spellEnd"/>
      <w:r>
        <w:t xml:space="preserve"> totale, </w:t>
      </w:r>
      <w:proofErr w:type="spellStart"/>
      <w:r>
        <w:t>Chaetodontidae</w:t>
      </w:r>
      <w:proofErr w:type="spellEnd"/>
      <w:r>
        <w:t xml:space="preserve"> et espèces commerciales. Les analyses seront réalisées selon le même protocole que pour l’habitat et le </w:t>
      </w:r>
      <w:proofErr w:type="spellStart"/>
      <w:r>
        <w:t>macrobenthos</w:t>
      </w:r>
      <w:proofErr w:type="spellEnd"/>
      <w:r>
        <w:t>.</w:t>
      </w:r>
    </w:p>
    <w:p w14:paraId="6BE2BC78" w14:textId="77777777" w:rsidR="00AC48CA" w:rsidRDefault="00AC48CA" w:rsidP="009D39FD">
      <w:pPr>
        <w:spacing w:after="0"/>
        <w:jc w:val="both"/>
        <w:rPr>
          <w:b/>
        </w:rPr>
      </w:pPr>
    </w:p>
    <w:p w14:paraId="5FBDA2E0" w14:textId="048533CA" w:rsidR="009D39FD" w:rsidRPr="009D39FD" w:rsidRDefault="00AC48CA" w:rsidP="009D39FD">
      <w:pPr>
        <w:spacing w:after="0"/>
        <w:jc w:val="both"/>
        <w:rPr>
          <w:b/>
        </w:rPr>
      </w:pPr>
      <w:r w:rsidRPr="00AC48CA">
        <w:rPr>
          <w:b/>
        </w:rPr>
        <w:sym w:font="Wingdings" w:char="F0E0"/>
      </w:r>
      <w:r>
        <w:rPr>
          <w:b/>
        </w:rPr>
        <w:t xml:space="preserve"> </w:t>
      </w:r>
      <w:r w:rsidR="009D39FD" w:rsidRPr="009D39FD">
        <w:rPr>
          <w:b/>
        </w:rPr>
        <w:t>Évolutions temporelles</w:t>
      </w:r>
    </w:p>
    <w:p w14:paraId="2284D68C" w14:textId="3376FCA5" w:rsidR="007D7081" w:rsidRDefault="007D7081" w:rsidP="0013734E">
      <w:pPr>
        <w:spacing w:after="0"/>
        <w:jc w:val="both"/>
      </w:pPr>
      <w:r>
        <w:t>Des analyses des variations temporelles seront réalisée</w:t>
      </w:r>
      <w:r w:rsidR="00AD05CD">
        <w:t>s</w:t>
      </w:r>
      <w:r>
        <w:t xml:space="preserve"> </w:t>
      </w:r>
      <w:r w:rsidR="00F235CC">
        <w:t>à</w:t>
      </w:r>
      <w:r w:rsidR="0013734E">
        <w:t xml:space="preserve"> partir de l’ensemble des données collectées</w:t>
      </w:r>
      <w:r>
        <w:t xml:space="preserve"> </w:t>
      </w:r>
      <w:r w:rsidR="0013734E">
        <w:t xml:space="preserve">sur les stations </w:t>
      </w:r>
      <w:r>
        <w:t xml:space="preserve">par le passé </w:t>
      </w:r>
      <w:r w:rsidRPr="0012200A">
        <w:t>(</w:t>
      </w:r>
      <w:r w:rsidR="00AD05CD" w:rsidRPr="0012200A">
        <w:t>données transmises par l’OEIL</w:t>
      </w:r>
      <w:r w:rsidRPr="0012200A">
        <w:t>).</w:t>
      </w:r>
      <w:r>
        <w:t xml:space="preserve"> Ces </w:t>
      </w:r>
      <w:r w:rsidR="0013734E">
        <w:t>évolutions seront étudiées</w:t>
      </w:r>
      <w:r>
        <w:t xml:space="preserve"> à deux niveaux (</w:t>
      </w:r>
      <w:r w:rsidR="0013734E">
        <w:t>station</w:t>
      </w:r>
      <w:r>
        <w:t xml:space="preserve"> et par </w:t>
      </w:r>
      <w:r w:rsidR="00131218">
        <w:t>groupe de station</w:t>
      </w:r>
      <w:r>
        <w:t>) en précisant et en justifiant les méthodes statistiques retenues.</w:t>
      </w:r>
    </w:p>
    <w:p w14:paraId="52D9A572" w14:textId="77777777" w:rsidR="0013734E" w:rsidRDefault="0013734E" w:rsidP="0013734E">
      <w:pPr>
        <w:spacing w:after="0"/>
        <w:jc w:val="both"/>
      </w:pPr>
    </w:p>
    <w:p w14:paraId="052086FB" w14:textId="5C61EF69" w:rsidR="00AC48CA" w:rsidRDefault="00AC48CA" w:rsidP="00820E1B">
      <w:pPr>
        <w:tabs>
          <w:tab w:val="left" w:pos="3330"/>
        </w:tabs>
        <w:spacing w:after="0"/>
        <w:jc w:val="both"/>
        <w:rPr>
          <w:b/>
          <w:sz w:val="28"/>
        </w:rPr>
      </w:pPr>
      <w:r>
        <w:rPr>
          <w:b/>
          <w:sz w:val="28"/>
        </w:rPr>
        <w:t>DONNÉES</w:t>
      </w:r>
    </w:p>
    <w:p w14:paraId="433C8807" w14:textId="7A894993" w:rsidR="00AC48CA" w:rsidRPr="00AC48CA" w:rsidRDefault="00AC48CA" w:rsidP="00AC48CA">
      <w:pPr>
        <w:spacing w:after="0"/>
        <w:jc w:val="both"/>
      </w:pPr>
      <w:r w:rsidRPr="00AC48CA">
        <w:t xml:space="preserve">Les données </w:t>
      </w:r>
      <w:r w:rsidR="00F235CC">
        <w:t xml:space="preserve">acquises durant l’inventaire </w:t>
      </w:r>
      <w:r w:rsidRPr="00AC48CA">
        <w:t>seront structurées comme une base de données relationnelle en respectant donc l’intégrité référentielle conformément à l’état de l’art. Les données seront transmises sous la forme de fichiers Excel (©Microsoft) ou optionnellement (à chiffrer le cas échéant dans la proposition) dans une base relationnelle Access</w:t>
      </w:r>
      <w:r>
        <w:t xml:space="preserve"> </w:t>
      </w:r>
      <w:proofErr w:type="gramStart"/>
      <w:r w:rsidRPr="00AC48CA">
        <w:t>( ©</w:t>
      </w:r>
      <w:proofErr w:type="gramEnd"/>
      <w:r w:rsidRPr="00AC48CA">
        <w:t>Microsoft). Le(s) modèle(s) des données sera/ont fourni(s) par le prestataire. Ce(s) modèle(s) fera/ont l'objet d'une validation par l'OEIL.</w:t>
      </w:r>
    </w:p>
    <w:p w14:paraId="72CD12DE" w14:textId="77777777" w:rsidR="00C777C3" w:rsidRDefault="00AC48CA" w:rsidP="00AC48CA">
      <w:pPr>
        <w:spacing w:after="0"/>
        <w:jc w:val="both"/>
      </w:pPr>
      <w:r w:rsidRPr="00AC48CA">
        <w:lastRenderedPageBreak/>
        <w:t>Un fichier de données brutes par type de données (</w:t>
      </w:r>
      <w:proofErr w:type="spellStart"/>
      <w:r w:rsidRPr="00AC48CA">
        <w:t>Macrobenthos</w:t>
      </w:r>
      <w:proofErr w:type="spellEnd"/>
      <w:r w:rsidRPr="00AC48CA">
        <w:t xml:space="preserve">, Substrat, Poissons), c'est-à-dire des données d’une granularité identique à celles qui sont relevées sur le terrain. </w:t>
      </w:r>
    </w:p>
    <w:p w14:paraId="043B5C79" w14:textId="7D3789DE" w:rsidR="00AC48CA" w:rsidRDefault="00C777C3" w:rsidP="00AC48CA">
      <w:pPr>
        <w:spacing w:after="0"/>
        <w:jc w:val="both"/>
      </w:pPr>
      <w:r>
        <w:t>Les feuilles de terrain ainsi qu’u</w:t>
      </w:r>
      <w:r w:rsidR="00AC48CA" w:rsidRPr="00AC48CA">
        <w:t xml:space="preserve">ne copie </w:t>
      </w:r>
      <w:r w:rsidRPr="00AC48CA">
        <w:t>au format numérique (</w:t>
      </w:r>
      <w:proofErr w:type="spellStart"/>
      <w:r w:rsidRPr="00AC48CA">
        <w:t>pdf</w:t>
      </w:r>
      <w:proofErr w:type="spellEnd"/>
      <w:r w:rsidRPr="00AC48CA">
        <w:t>)</w:t>
      </w:r>
      <w:r>
        <w:t xml:space="preserve"> de ces dernières</w:t>
      </w:r>
      <w:r w:rsidR="00AC48CA" w:rsidRPr="00AC48CA">
        <w:t xml:space="preserve"> </w:t>
      </w:r>
      <w:r w:rsidRPr="00AC48CA">
        <w:t>seront</w:t>
      </w:r>
      <w:r>
        <w:t xml:space="preserve"> transmis.</w:t>
      </w:r>
    </w:p>
    <w:p w14:paraId="2D4470C7" w14:textId="77777777" w:rsidR="00AC48CA" w:rsidRPr="00AC48CA" w:rsidRDefault="00AC48CA" w:rsidP="00AC48CA">
      <w:pPr>
        <w:spacing w:after="0"/>
        <w:jc w:val="both"/>
      </w:pPr>
    </w:p>
    <w:p w14:paraId="74573EF5" w14:textId="4D049B82" w:rsidR="00AC48CA" w:rsidRDefault="00AC48CA" w:rsidP="00AC48CA">
      <w:pPr>
        <w:spacing w:after="0"/>
        <w:jc w:val="both"/>
      </w:pPr>
      <w:r w:rsidRPr="00AC48CA">
        <w:t xml:space="preserve">Un fichier de données par type de données avec les différentes variables calculées (densité, biomasse, richesse, abondance, </w:t>
      </w:r>
      <w:proofErr w:type="spellStart"/>
      <w:proofErr w:type="gramStart"/>
      <w:r w:rsidRPr="00AC48CA">
        <w:t>etc</w:t>
      </w:r>
      <w:proofErr w:type="spellEnd"/>
      <w:r w:rsidRPr="00AC48CA">
        <w:t xml:space="preserve"> )</w:t>
      </w:r>
      <w:proofErr w:type="gramEnd"/>
      <w:r w:rsidRPr="00AC48CA">
        <w:t xml:space="preserve"> avec tous les niveaux de granularité (</w:t>
      </w:r>
      <w:proofErr w:type="spellStart"/>
      <w:r w:rsidRPr="00AC48CA">
        <w:t>transect</w:t>
      </w:r>
      <w:proofErr w:type="spellEnd"/>
      <w:r w:rsidRPr="00AC48CA">
        <w:t>, stations, groupe de station) produits pour l’analyse </w:t>
      </w:r>
      <w:r>
        <w:t>expert.</w:t>
      </w:r>
    </w:p>
    <w:p w14:paraId="44CEB1A1" w14:textId="77777777" w:rsidR="00AC48CA" w:rsidRPr="00AC48CA" w:rsidRDefault="00AC48CA" w:rsidP="00AC48CA">
      <w:pPr>
        <w:spacing w:after="0"/>
        <w:jc w:val="both"/>
      </w:pPr>
    </w:p>
    <w:p w14:paraId="5F6339B5" w14:textId="48EF7669" w:rsidR="00AC48CA" w:rsidRPr="00AC48CA" w:rsidRDefault="00AC48CA" w:rsidP="00AC48CA">
      <w:pPr>
        <w:spacing w:after="0"/>
        <w:jc w:val="both"/>
      </w:pPr>
      <w:r w:rsidRPr="00AC48CA">
        <w:t>Les différents référentiels seront stockées dans des tables dédiées ; ce sera par exemple le cas pour : informations générales sur les listes d’espèces avec les coefficient</w:t>
      </w:r>
      <w:r w:rsidR="00F235CC">
        <w:t>s</w:t>
      </w:r>
      <w:r w:rsidRPr="00AC48CA">
        <w:t xml:space="preserve"> a et b, informations générales sur les stations, description des catégories de substrat, données météo, etc.</w:t>
      </w:r>
    </w:p>
    <w:p w14:paraId="2896AD24" w14:textId="77777777" w:rsidR="0043675E" w:rsidRDefault="00AC48CA" w:rsidP="0043675E">
      <w:pPr>
        <w:spacing w:after="0"/>
        <w:jc w:val="both"/>
      </w:pPr>
      <w:r w:rsidRPr="00AC48CA">
        <w:t>L’ensemble des données auront été vérifiées et validées.</w:t>
      </w:r>
      <w:r w:rsidR="0043675E" w:rsidRPr="0043675E">
        <w:t xml:space="preserve"> </w:t>
      </w:r>
    </w:p>
    <w:p w14:paraId="54114F4B" w14:textId="77777777" w:rsidR="0043675E" w:rsidRDefault="0043675E" w:rsidP="0043675E">
      <w:pPr>
        <w:spacing w:after="0"/>
        <w:jc w:val="both"/>
      </w:pPr>
    </w:p>
    <w:p w14:paraId="30D9838C" w14:textId="377D1166" w:rsidR="0043675E" w:rsidRPr="00AC48CA" w:rsidRDefault="0043675E" w:rsidP="0043675E">
      <w:pPr>
        <w:spacing w:after="0"/>
        <w:jc w:val="both"/>
      </w:pPr>
      <w:r w:rsidRPr="00AC48CA">
        <w:t>Toutes les informations nécessaires pour assurer la traçabilité des données (méthodologie, données mésologiques,…) seront fournies et structurées.</w:t>
      </w:r>
    </w:p>
    <w:p w14:paraId="17CF0A09" w14:textId="77777777" w:rsidR="00AC48CA" w:rsidRPr="00AC48CA" w:rsidRDefault="00AC48CA" w:rsidP="00AC48CA">
      <w:pPr>
        <w:spacing w:after="0"/>
        <w:jc w:val="both"/>
      </w:pPr>
    </w:p>
    <w:p w14:paraId="09248E3B" w14:textId="7C4B3173" w:rsidR="00AC48CA" w:rsidRPr="00AC48CA" w:rsidRDefault="00AC48CA" w:rsidP="00AC48CA">
      <w:pPr>
        <w:spacing w:after="0"/>
        <w:jc w:val="both"/>
      </w:pPr>
      <w:r w:rsidRPr="00AC48CA">
        <w:t>Les données géographiques (vectorielles et images) seront livrées dans le système de référence légal de la Nouvelle-Calédonie avec le RGNC avec s</w:t>
      </w:r>
      <w:r w:rsidR="0043675E">
        <w:t xml:space="preserve">a projection Lambert associée.  </w:t>
      </w:r>
      <w:r w:rsidRPr="00AC48CA">
        <w:t xml:space="preserve">Les fichiers nécessaires à l’exploitation cartographique seront transmis : fichiers </w:t>
      </w:r>
      <w:proofErr w:type="spellStart"/>
      <w:r w:rsidRPr="00AC48CA">
        <w:t>mxd</w:t>
      </w:r>
      <w:proofErr w:type="spellEnd"/>
      <w:r w:rsidRPr="00AC48CA">
        <w:t xml:space="preserve">, </w:t>
      </w:r>
      <w:proofErr w:type="spellStart"/>
      <w:r w:rsidRPr="00AC48CA">
        <w:t>géodatabase</w:t>
      </w:r>
      <w:proofErr w:type="spellEnd"/>
      <w:r w:rsidRPr="00AC48CA">
        <w:t xml:space="preserve"> et </w:t>
      </w:r>
      <w:proofErr w:type="spellStart"/>
      <w:r w:rsidRPr="00AC48CA">
        <w:t>lyr</w:t>
      </w:r>
      <w:proofErr w:type="spellEnd"/>
      <w:r w:rsidRPr="00AC48CA">
        <w:t xml:space="preserve"> (@</w:t>
      </w:r>
      <w:proofErr w:type="spellStart"/>
      <w:r w:rsidRPr="00AC48CA">
        <w:t>Esri</w:t>
      </w:r>
      <w:proofErr w:type="spellEnd"/>
      <w:r w:rsidRPr="00AC48CA">
        <w:t>).</w:t>
      </w:r>
    </w:p>
    <w:p w14:paraId="750A6ED3" w14:textId="77777777" w:rsidR="000A76E1" w:rsidRDefault="000A76E1" w:rsidP="000A76E1">
      <w:pPr>
        <w:spacing w:after="0"/>
        <w:jc w:val="both"/>
      </w:pPr>
    </w:p>
    <w:p w14:paraId="492D9719" w14:textId="77777777" w:rsidR="000A76E1" w:rsidRPr="00AC48CA" w:rsidRDefault="000A76E1" w:rsidP="000A76E1">
      <w:pPr>
        <w:spacing w:after="0"/>
        <w:jc w:val="both"/>
      </w:pPr>
      <w:r>
        <w:t>L’ensemble des photographies réalisées sur le terrain seront rassemblées par station et remises à l’OEIL.</w:t>
      </w:r>
    </w:p>
    <w:p w14:paraId="17C3C452" w14:textId="77777777" w:rsidR="00B41782" w:rsidRDefault="00B41782" w:rsidP="00AC48CA">
      <w:pPr>
        <w:spacing w:after="0"/>
        <w:jc w:val="both"/>
      </w:pPr>
    </w:p>
    <w:p w14:paraId="3F139EB4" w14:textId="5F1B4D0E" w:rsidR="00B41782" w:rsidRDefault="00AC48CA" w:rsidP="00AC48CA">
      <w:pPr>
        <w:spacing w:after="0"/>
        <w:jc w:val="both"/>
      </w:pPr>
      <w:r w:rsidRPr="00AC48CA">
        <w:t>Toutes les données brutes ou élaborées (variable calculées), les référentiels acquis dans le cadre de la prestation</w:t>
      </w:r>
      <w:r w:rsidR="000A76E1">
        <w:t>, les photographies</w:t>
      </w:r>
      <w:r w:rsidRPr="00AC48CA">
        <w:t xml:space="preserve"> et les fichiers géographiques sont la propriété exclusive de l’OEIL. </w:t>
      </w:r>
    </w:p>
    <w:p w14:paraId="5477EC00" w14:textId="77777777" w:rsidR="000A76E1" w:rsidRDefault="000A76E1" w:rsidP="00AC48CA">
      <w:pPr>
        <w:spacing w:after="0"/>
        <w:jc w:val="both"/>
      </w:pPr>
    </w:p>
    <w:p w14:paraId="2C4A7F34" w14:textId="77777777" w:rsidR="000A76E1" w:rsidRDefault="000A76E1" w:rsidP="00AC48CA">
      <w:pPr>
        <w:spacing w:after="0"/>
        <w:jc w:val="both"/>
      </w:pPr>
    </w:p>
    <w:p w14:paraId="150896B4" w14:textId="1DC7D71C" w:rsidR="00820E1B" w:rsidRPr="003B364A" w:rsidRDefault="003E7C66" w:rsidP="00820E1B">
      <w:pPr>
        <w:tabs>
          <w:tab w:val="left" w:pos="3330"/>
        </w:tabs>
        <w:spacing w:after="0"/>
        <w:jc w:val="both"/>
        <w:rPr>
          <w:b/>
          <w:sz w:val="28"/>
        </w:rPr>
      </w:pPr>
      <w:r>
        <w:rPr>
          <w:b/>
          <w:sz w:val="28"/>
        </w:rPr>
        <w:t>INFORMATION</w:t>
      </w:r>
      <w:r w:rsidR="00820E1B" w:rsidRPr="003B364A">
        <w:rPr>
          <w:b/>
          <w:sz w:val="28"/>
        </w:rPr>
        <w:t>S FOURNIES</w:t>
      </w:r>
    </w:p>
    <w:p w14:paraId="3E2D6D4B" w14:textId="77777777" w:rsidR="00D12454" w:rsidRDefault="0013734E" w:rsidP="002A4B9A">
      <w:pPr>
        <w:spacing w:after="0"/>
        <w:jc w:val="both"/>
      </w:pPr>
      <w:r>
        <w:t>L’OEIL mettra à disposition</w:t>
      </w:r>
      <w:r w:rsidR="00D12454">
        <w:t> :</w:t>
      </w:r>
    </w:p>
    <w:p w14:paraId="23D74368" w14:textId="714082FE" w:rsidR="00D12454" w:rsidRDefault="00D12454" w:rsidP="00D12454">
      <w:pPr>
        <w:spacing w:after="0"/>
        <w:jc w:val="both"/>
      </w:pPr>
      <w:r>
        <w:t xml:space="preserve">- </w:t>
      </w:r>
      <w:r w:rsidR="000A76E1">
        <w:t xml:space="preserve"> L</w:t>
      </w:r>
      <w:r w:rsidR="0013734E">
        <w:t xml:space="preserve">’ensemble des données </w:t>
      </w:r>
      <w:r w:rsidR="00B41782">
        <w:t>dont il dispose</w:t>
      </w:r>
      <w:r w:rsidR="0013734E">
        <w:t xml:space="preserve"> sur les 8 stations étudiées. Ces données sont structurées et ne n</w:t>
      </w:r>
      <w:r w:rsidR="000A76E1">
        <w:t>écessitent pas de prétraitement.</w:t>
      </w:r>
      <w:r w:rsidR="00704FF4">
        <w:t xml:space="preserve"> Pour deux campagnes en 2011 et 2013 des jeux de données complets sont disponibles en revanche sur la période 1994-2011 peut de données sont disponibles ce qui risque de limiter la qualité des analyses pouvant être réalisées</w:t>
      </w:r>
      <w:r w:rsidR="00704FF4">
        <w:rPr>
          <w:rStyle w:val="Marquenotebasdepage"/>
        </w:rPr>
        <w:footnoteReference w:id="5"/>
      </w:r>
      <w:r w:rsidR="00704FF4">
        <w:t>.</w:t>
      </w:r>
    </w:p>
    <w:p w14:paraId="7A9B2231" w14:textId="4CF0FF1D" w:rsidR="00D12454" w:rsidRDefault="00D12454" w:rsidP="00D12454">
      <w:pPr>
        <w:spacing w:after="0"/>
        <w:jc w:val="both"/>
      </w:pPr>
      <w:r>
        <w:t xml:space="preserve">- </w:t>
      </w:r>
      <w:r w:rsidR="000A76E1">
        <w:t>U</w:t>
      </w:r>
      <w:r w:rsidRPr="00AC48CA">
        <w:t xml:space="preserve">n référentiel d’espèces et les coefficients </w:t>
      </w:r>
      <w:r>
        <w:t>a</w:t>
      </w:r>
      <w:r w:rsidRPr="00AC48CA">
        <w:t xml:space="preserve"> et </w:t>
      </w:r>
      <w:r>
        <w:t>b qui seront employés pour les calculs de biomasse</w:t>
      </w:r>
      <w:r w:rsidR="000A76E1">
        <w:t xml:space="preserve"> des poissons</w:t>
      </w:r>
      <w:r>
        <w:t>.</w:t>
      </w:r>
    </w:p>
    <w:p w14:paraId="679F6FBD" w14:textId="77777777" w:rsidR="00D12454" w:rsidRDefault="00D12454" w:rsidP="002A4B9A">
      <w:pPr>
        <w:spacing w:after="0"/>
        <w:jc w:val="both"/>
      </w:pPr>
    </w:p>
    <w:p w14:paraId="40FEAC9B" w14:textId="77777777" w:rsidR="000A76E1" w:rsidRDefault="000A76E1" w:rsidP="002A4B9A">
      <w:pPr>
        <w:spacing w:after="0"/>
        <w:jc w:val="both"/>
      </w:pPr>
    </w:p>
    <w:p w14:paraId="2DC66DD8" w14:textId="77777777" w:rsidR="000D3FAB" w:rsidRDefault="00BE40C4" w:rsidP="003B364A">
      <w:pPr>
        <w:tabs>
          <w:tab w:val="left" w:pos="3330"/>
        </w:tabs>
        <w:spacing w:after="0"/>
        <w:jc w:val="both"/>
        <w:rPr>
          <w:b/>
          <w:sz w:val="28"/>
        </w:rPr>
      </w:pPr>
      <w:r w:rsidRPr="003B364A">
        <w:rPr>
          <w:b/>
          <w:sz w:val="28"/>
        </w:rPr>
        <w:t>LIVRABLES</w:t>
      </w:r>
    </w:p>
    <w:p w14:paraId="239899CD" w14:textId="4A8CA8D8" w:rsidR="00B617E7" w:rsidRDefault="00954CA0" w:rsidP="002A69A4">
      <w:pPr>
        <w:spacing w:after="0"/>
      </w:pPr>
      <w:r>
        <w:t>Les livrables attendus</w:t>
      </w:r>
      <w:r w:rsidR="00DB2BC8">
        <w:t xml:space="preserve"> sont</w:t>
      </w:r>
      <w:r>
        <w:t> :</w:t>
      </w:r>
    </w:p>
    <w:p w14:paraId="033D5E79" w14:textId="3072B9C8" w:rsidR="00B617E7" w:rsidRDefault="00B617E7" w:rsidP="001909E7">
      <w:pPr>
        <w:pStyle w:val="Paragraphedeliste"/>
        <w:numPr>
          <w:ilvl w:val="0"/>
          <w:numId w:val="15"/>
        </w:numPr>
        <w:spacing w:after="0"/>
        <w:jc w:val="both"/>
        <w:rPr>
          <w:u w:val="single"/>
        </w:rPr>
      </w:pPr>
      <w:r>
        <w:rPr>
          <w:u w:val="single"/>
        </w:rPr>
        <w:t>un rapport d’étude</w:t>
      </w:r>
    </w:p>
    <w:p w14:paraId="1A7FF057" w14:textId="7A7BA4DF" w:rsidR="00D1655D" w:rsidRPr="00B41782" w:rsidRDefault="00A0436F" w:rsidP="00D1655D">
      <w:pPr>
        <w:pStyle w:val="Paragraphedeliste"/>
        <w:numPr>
          <w:ilvl w:val="0"/>
          <w:numId w:val="15"/>
        </w:numPr>
        <w:spacing w:after="0"/>
        <w:jc w:val="both"/>
        <w:rPr>
          <w:u w:val="single"/>
        </w:rPr>
      </w:pPr>
      <w:r w:rsidRPr="00055133">
        <w:rPr>
          <w:u w:val="single"/>
        </w:rPr>
        <w:t>u</w:t>
      </w:r>
      <w:r w:rsidR="00D1655D" w:rsidRPr="00055133">
        <w:rPr>
          <w:u w:val="single"/>
        </w:rPr>
        <w:t>n</w:t>
      </w:r>
      <w:r w:rsidR="002951B4" w:rsidRPr="00055133">
        <w:rPr>
          <w:u w:val="single"/>
        </w:rPr>
        <w:t>e</w:t>
      </w:r>
      <w:r w:rsidR="00D1655D" w:rsidRPr="00055133">
        <w:rPr>
          <w:u w:val="single"/>
        </w:rPr>
        <w:t xml:space="preserve"> présentation orale</w:t>
      </w:r>
      <w:r w:rsidR="00D1655D" w:rsidRPr="00055133">
        <w:t xml:space="preserve"> accompagnée d’un support </w:t>
      </w:r>
      <w:r w:rsidR="00B93C60">
        <w:t xml:space="preserve">de type </w:t>
      </w:r>
      <w:r w:rsidR="00D1655D" w:rsidRPr="00055133">
        <w:t>PowerPoint présentant les résultats finaux de l’étude</w:t>
      </w:r>
    </w:p>
    <w:p w14:paraId="3C4DFEB1" w14:textId="261B29EF" w:rsidR="00B41782" w:rsidRPr="00055133" w:rsidRDefault="00B41782" w:rsidP="00D1655D">
      <w:pPr>
        <w:pStyle w:val="Paragraphedeliste"/>
        <w:numPr>
          <w:ilvl w:val="0"/>
          <w:numId w:val="15"/>
        </w:numPr>
        <w:spacing w:after="0"/>
        <w:jc w:val="both"/>
        <w:rPr>
          <w:u w:val="single"/>
        </w:rPr>
      </w:pPr>
      <w:r>
        <w:rPr>
          <w:u w:val="single"/>
        </w:rPr>
        <w:lastRenderedPageBreak/>
        <w:t xml:space="preserve">l’ensemble des données </w:t>
      </w:r>
      <w:r w:rsidRPr="00B41782">
        <w:t>acquises et générées (</w:t>
      </w:r>
      <w:proofErr w:type="spellStart"/>
      <w:r w:rsidRPr="00B41782">
        <w:t>Cf</w:t>
      </w:r>
      <w:proofErr w:type="spellEnd"/>
      <w:r w:rsidRPr="00B41782">
        <w:t> : « DONNÉES »)</w:t>
      </w:r>
    </w:p>
    <w:p w14:paraId="74153628" w14:textId="77777777" w:rsidR="00A0436F" w:rsidRDefault="00A0436F" w:rsidP="002A69A4">
      <w:pPr>
        <w:spacing w:after="0"/>
        <w:rPr>
          <w:b/>
        </w:rPr>
      </w:pPr>
    </w:p>
    <w:p w14:paraId="0530916D" w14:textId="77777777" w:rsidR="000A76E1" w:rsidRDefault="000A76E1" w:rsidP="002A69A4">
      <w:pPr>
        <w:spacing w:after="0"/>
        <w:rPr>
          <w:b/>
        </w:rPr>
      </w:pPr>
    </w:p>
    <w:p w14:paraId="68AD6BF2" w14:textId="77777777" w:rsidR="005E6837" w:rsidRDefault="00BE40C4" w:rsidP="003B364A">
      <w:pPr>
        <w:tabs>
          <w:tab w:val="left" w:pos="3330"/>
        </w:tabs>
        <w:spacing w:after="0"/>
        <w:jc w:val="both"/>
        <w:rPr>
          <w:b/>
          <w:sz w:val="28"/>
        </w:rPr>
      </w:pPr>
      <w:r w:rsidRPr="003B364A">
        <w:rPr>
          <w:b/>
          <w:sz w:val="28"/>
        </w:rPr>
        <w:t>STRUCTURATION DES OFFRES</w:t>
      </w:r>
    </w:p>
    <w:p w14:paraId="6450A7C6" w14:textId="56B11025" w:rsidR="00B20DDB" w:rsidRDefault="005E6837" w:rsidP="00B20DDB">
      <w:pPr>
        <w:spacing w:after="0"/>
        <w:rPr>
          <w:u w:val="single"/>
        </w:rPr>
      </w:pPr>
      <w:r>
        <w:t>Il est attendu</w:t>
      </w:r>
      <w:r w:rsidR="000069C1">
        <w:t xml:space="preserve"> pour la proposition des offres </w:t>
      </w:r>
      <w:r w:rsidR="00B20DDB" w:rsidRPr="00B20DDB">
        <w:rPr>
          <w:u w:val="single"/>
        </w:rPr>
        <w:t xml:space="preserve">une proposition technique et </w:t>
      </w:r>
      <w:r w:rsidR="00C777C3">
        <w:rPr>
          <w:u w:val="single"/>
        </w:rPr>
        <w:t xml:space="preserve"> </w:t>
      </w:r>
      <w:r w:rsidR="00B20DDB" w:rsidRPr="00B20DDB">
        <w:rPr>
          <w:u w:val="single"/>
        </w:rPr>
        <w:t>financière détaillée</w:t>
      </w:r>
      <w:r w:rsidR="00B20DDB">
        <w:rPr>
          <w:u w:val="single"/>
        </w:rPr>
        <w:t>.</w:t>
      </w:r>
      <w:r w:rsidR="00B20DDB" w:rsidRPr="00B20DDB">
        <w:t xml:space="preserve"> Celle-ci doit intégr</w:t>
      </w:r>
      <w:r w:rsidR="00B20DDB">
        <w:t>er</w:t>
      </w:r>
      <w:r w:rsidR="00B20DDB" w:rsidRPr="00B20DDB">
        <w:t> :</w:t>
      </w:r>
    </w:p>
    <w:p w14:paraId="59650580" w14:textId="715288CD" w:rsidR="00E36FD4" w:rsidRPr="00B20DDB" w:rsidRDefault="00B20DDB" w:rsidP="00625E5F">
      <w:pPr>
        <w:pStyle w:val="Paragraphedeliste"/>
        <w:numPr>
          <w:ilvl w:val="0"/>
          <w:numId w:val="23"/>
        </w:numPr>
        <w:spacing w:after="0"/>
        <w:jc w:val="both"/>
        <w:rPr>
          <w:u w:val="single"/>
        </w:rPr>
      </w:pPr>
      <w:r w:rsidRPr="00DB2BC8">
        <w:t xml:space="preserve">le nombre d’heure de travail total pour chaque </w:t>
      </w:r>
      <w:r w:rsidR="00625E5F">
        <w:t>intervenant dont le CV et les tâ</w:t>
      </w:r>
      <w:r w:rsidRPr="00DB2BC8">
        <w:t>ches sont détaillés</w:t>
      </w:r>
      <w:r>
        <w:t>,</w:t>
      </w:r>
    </w:p>
    <w:p w14:paraId="1390E3AF" w14:textId="6229998C" w:rsidR="005E6837" w:rsidRPr="00B20DDB" w:rsidRDefault="00055133" w:rsidP="00625E5F">
      <w:pPr>
        <w:pStyle w:val="Paragraphedeliste"/>
        <w:numPr>
          <w:ilvl w:val="0"/>
          <w:numId w:val="6"/>
        </w:numPr>
        <w:spacing w:after="0"/>
        <w:jc w:val="both"/>
      </w:pPr>
      <w:r w:rsidRPr="00B20DDB">
        <w:t>l</w:t>
      </w:r>
      <w:r w:rsidR="003E7C66" w:rsidRPr="00B20DDB">
        <w:t xml:space="preserve">a méthodologie </w:t>
      </w:r>
      <w:r w:rsidR="000069C1" w:rsidRPr="00B20DDB">
        <w:t xml:space="preserve">détaillée </w:t>
      </w:r>
      <w:r w:rsidR="008C1937" w:rsidRPr="00B20DDB">
        <w:t xml:space="preserve">et justifiée </w:t>
      </w:r>
      <w:r w:rsidR="000069C1" w:rsidRPr="00B20DDB">
        <w:t>de la mise œuvre de l</w:t>
      </w:r>
      <w:r w:rsidR="00F235CC" w:rsidRPr="00B20DDB">
        <w:t>a prestation</w:t>
      </w:r>
      <w:r w:rsidR="00081A80" w:rsidRPr="00B20DDB">
        <w:t xml:space="preserve"> en veillant à </w:t>
      </w:r>
      <w:r w:rsidR="00853195" w:rsidRPr="00B20DDB">
        <w:t>traiter</w:t>
      </w:r>
      <w:r w:rsidR="00081A80" w:rsidRPr="00B20DDB">
        <w:t xml:space="preserve"> de manière </w:t>
      </w:r>
      <w:r w:rsidR="00E62507" w:rsidRPr="00B20DDB">
        <w:t>séparée</w:t>
      </w:r>
      <w:r w:rsidR="00081A80" w:rsidRPr="00B20DDB">
        <w:t xml:space="preserve"> </w:t>
      </w:r>
      <w:r w:rsidR="00B20DDB">
        <w:t>les objectifs généraux,</w:t>
      </w:r>
    </w:p>
    <w:p w14:paraId="387B5E6E" w14:textId="0480F452" w:rsidR="00E36FD4" w:rsidRPr="00B20DDB" w:rsidRDefault="00055133" w:rsidP="00625E5F">
      <w:pPr>
        <w:pStyle w:val="Paragraphedeliste"/>
        <w:numPr>
          <w:ilvl w:val="0"/>
          <w:numId w:val="6"/>
        </w:numPr>
        <w:spacing w:after="0"/>
        <w:jc w:val="both"/>
      </w:pPr>
      <w:r w:rsidRPr="00B20DDB">
        <w:t>u</w:t>
      </w:r>
      <w:r w:rsidR="00E36FD4" w:rsidRPr="00B20DDB">
        <w:t xml:space="preserve">n calendrier de </w:t>
      </w:r>
      <w:r w:rsidR="00F235CC" w:rsidRPr="00B20DDB">
        <w:t xml:space="preserve">mise en </w:t>
      </w:r>
      <w:r w:rsidR="00B20DDB" w:rsidRPr="00B20DDB">
        <w:t>œuvre</w:t>
      </w:r>
      <w:r w:rsidR="00C964ED" w:rsidRPr="00B20DDB">
        <w:t xml:space="preserve"> détaillé</w:t>
      </w:r>
      <w:r w:rsidR="00B20DDB">
        <w:t>.</w:t>
      </w:r>
    </w:p>
    <w:p w14:paraId="50A0F37C" w14:textId="77777777" w:rsidR="005903E4" w:rsidRDefault="005903E4" w:rsidP="001A7EB4">
      <w:pPr>
        <w:spacing w:after="0"/>
        <w:jc w:val="both"/>
      </w:pPr>
    </w:p>
    <w:p w14:paraId="7FACDFEE" w14:textId="097E1EBC" w:rsidR="00081A80" w:rsidRPr="00DB2BC8" w:rsidRDefault="00081A80" w:rsidP="001A7EB4">
      <w:pPr>
        <w:spacing w:after="0"/>
        <w:jc w:val="both"/>
        <w:rPr>
          <w:i/>
        </w:rPr>
      </w:pPr>
      <w:r w:rsidRPr="00DB2BC8">
        <w:rPr>
          <w:i/>
        </w:rPr>
        <w:t>Remarque : L’OEIL</w:t>
      </w:r>
      <w:r w:rsidR="004E25A9" w:rsidRPr="00DB2BC8">
        <w:rPr>
          <w:i/>
        </w:rPr>
        <w:t xml:space="preserve"> se réserve le droit de n’accepter</w:t>
      </w:r>
      <w:r w:rsidR="00DB2BC8">
        <w:rPr>
          <w:i/>
        </w:rPr>
        <w:t xml:space="preserve"> qu’une mise en œuvre partielle des actions proposées dans l</w:t>
      </w:r>
      <w:r w:rsidR="004E25A9" w:rsidRPr="00DB2BC8">
        <w:rPr>
          <w:i/>
        </w:rPr>
        <w:t>es offres qu’il reçoit.</w:t>
      </w:r>
    </w:p>
    <w:p w14:paraId="35B8F18C" w14:textId="77777777" w:rsidR="00DB2BC8" w:rsidRPr="00B20DDB" w:rsidRDefault="00DB2BC8" w:rsidP="001A7EB4">
      <w:pPr>
        <w:spacing w:after="0"/>
        <w:jc w:val="both"/>
      </w:pPr>
    </w:p>
    <w:p w14:paraId="0E18A40F" w14:textId="463D2B83" w:rsidR="000B04CC" w:rsidRPr="003B364A" w:rsidRDefault="000B04CC" w:rsidP="000B04CC">
      <w:pPr>
        <w:tabs>
          <w:tab w:val="left" w:pos="3330"/>
        </w:tabs>
        <w:spacing w:after="0"/>
        <w:jc w:val="both"/>
        <w:rPr>
          <w:b/>
          <w:sz w:val="28"/>
        </w:rPr>
      </w:pPr>
      <w:r>
        <w:rPr>
          <w:b/>
          <w:sz w:val="28"/>
        </w:rPr>
        <w:t>PLANNING</w:t>
      </w:r>
    </w:p>
    <w:p w14:paraId="3F757214" w14:textId="4A53ECF4" w:rsidR="00F235B4" w:rsidRDefault="00B20DDB" w:rsidP="00F235B4">
      <w:pPr>
        <w:spacing w:after="0"/>
        <w:jc w:val="both"/>
      </w:pPr>
      <w:r w:rsidRPr="0012200A">
        <w:t>Le calendrier proposé doit prévoir une campagne exécuté</w:t>
      </w:r>
      <w:r w:rsidR="0012200A">
        <w:t>e au plus tard</w:t>
      </w:r>
      <w:r w:rsidRPr="0012200A">
        <w:t xml:space="preserve"> </w:t>
      </w:r>
      <w:r w:rsidR="0012200A">
        <w:t>le 10 novembre</w:t>
      </w:r>
      <w:r w:rsidRPr="0012200A">
        <w:t xml:space="preserve"> </w:t>
      </w:r>
      <w:r w:rsidR="00B41782" w:rsidRPr="0012200A">
        <w:t xml:space="preserve">2014 et la restitution du rapport finale de l’étude en </w:t>
      </w:r>
      <w:r w:rsidR="0012200A">
        <w:t>d</w:t>
      </w:r>
      <w:r w:rsidR="00B41782" w:rsidRPr="0012200A">
        <w:t>écembre 2014.</w:t>
      </w:r>
    </w:p>
    <w:p w14:paraId="0154735F" w14:textId="77777777" w:rsidR="000B04CC" w:rsidRPr="00BE40C4" w:rsidRDefault="000B04CC" w:rsidP="00F235B4">
      <w:pPr>
        <w:spacing w:after="0"/>
        <w:jc w:val="both"/>
      </w:pPr>
    </w:p>
    <w:p w14:paraId="17A63EC3" w14:textId="77777777" w:rsidR="00DE5F76" w:rsidRPr="003B364A" w:rsidRDefault="003B364A" w:rsidP="003B364A">
      <w:pPr>
        <w:tabs>
          <w:tab w:val="left" w:pos="3330"/>
        </w:tabs>
        <w:spacing w:after="0"/>
        <w:jc w:val="both"/>
        <w:rPr>
          <w:b/>
          <w:sz w:val="28"/>
        </w:rPr>
      </w:pPr>
      <w:bookmarkStart w:id="1" w:name="_Toc269971563"/>
      <w:bookmarkStart w:id="2" w:name="_Toc269975908"/>
      <w:bookmarkStart w:id="3" w:name="_Toc269994757"/>
      <w:bookmarkStart w:id="4" w:name="_Toc269998393"/>
      <w:bookmarkStart w:id="5" w:name="_Toc269998480"/>
      <w:bookmarkStart w:id="6" w:name="_Toc270000586"/>
      <w:bookmarkStart w:id="7" w:name="_Toc270001353"/>
      <w:bookmarkStart w:id="8" w:name="_Toc270001427"/>
      <w:bookmarkStart w:id="9" w:name="_Toc269971565"/>
      <w:bookmarkStart w:id="10" w:name="_Toc269975910"/>
      <w:bookmarkStart w:id="11" w:name="_Toc269994759"/>
      <w:bookmarkStart w:id="12" w:name="_Toc269998395"/>
      <w:bookmarkStart w:id="13" w:name="_Toc269998482"/>
      <w:bookmarkStart w:id="14" w:name="_Toc270000588"/>
      <w:bookmarkStart w:id="15" w:name="_Toc270001355"/>
      <w:bookmarkStart w:id="16" w:name="_Toc270001429"/>
      <w:bookmarkStart w:id="17" w:name="_Toc269971566"/>
      <w:bookmarkStart w:id="18" w:name="_Toc269975911"/>
      <w:bookmarkStart w:id="19" w:name="_Toc269994760"/>
      <w:bookmarkStart w:id="20" w:name="_Toc269998396"/>
      <w:bookmarkStart w:id="21" w:name="_Toc269998483"/>
      <w:bookmarkStart w:id="22" w:name="_Toc270000589"/>
      <w:bookmarkStart w:id="23" w:name="_Toc270001356"/>
      <w:bookmarkStart w:id="24" w:name="_Toc27000143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b/>
          <w:sz w:val="28"/>
        </w:rPr>
        <w:t>DÉLAI DE RÉPONSE</w:t>
      </w:r>
    </w:p>
    <w:p w14:paraId="5FC27BFB" w14:textId="33D01EB0" w:rsidR="00DE5F76" w:rsidRPr="0012200A" w:rsidRDefault="00DE5F76" w:rsidP="001A7EB4">
      <w:pPr>
        <w:pStyle w:val="Corpsdetexte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909E7">
        <w:rPr>
          <w:rFonts w:ascii="Calibri" w:hAnsi="Calibri" w:cs="Calibri"/>
          <w:iCs/>
          <w:sz w:val="22"/>
          <w:szCs w:val="22"/>
        </w:rPr>
        <w:t>La date limite de réception de</w:t>
      </w:r>
      <w:r w:rsidR="00B20DDB">
        <w:rPr>
          <w:rFonts w:ascii="Calibri" w:hAnsi="Calibri" w:cs="Calibri"/>
          <w:iCs/>
          <w:sz w:val="22"/>
          <w:szCs w:val="22"/>
        </w:rPr>
        <w:t xml:space="preserve">s </w:t>
      </w:r>
      <w:r w:rsidRPr="001909E7">
        <w:rPr>
          <w:rFonts w:ascii="Calibri" w:hAnsi="Calibri" w:cs="Calibri"/>
          <w:iCs/>
          <w:sz w:val="22"/>
          <w:szCs w:val="22"/>
        </w:rPr>
        <w:t>offre</w:t>
      </w:r>
      <w:r w:rsidR="00B20DDB">
        <w:rPr>
          <w:rFonts w:ascii="Calibri" w:hAnsi="Calibri" w:cs="Calibri"/>
          <w:iCs/>
          <w:sz w:val="22"/>
          <w:szCs w:val="22"/>
        </w:rPr>
        <w:t>s</w:t>
      </w:r>
      <w:r w:rsidRPr="001909E7">
        <w:rPr>
          <w:rFonts w:ascii="Calibri" w:hAnsi="Calibri" w:cs="Calibri"/>
          <w:iCs/>
          <w:sz w:val="22"/>
          <w:szCs w:val="22"/>
        </w:rPr>
        <w:t xml:space="preserve"> est fixée </w:t>
      </w:r>
      <w:r w:rsidR="00D1655D">
        <w:rPr>
          <w:rFonts w:ascii="Calibri" w:hAnsi="Calibri" w:cs="Calibri"/>
          <w:iCs/>
          <w:sz w:val="22"/>
          <w:szCs w:val="22"/>
        </w:rPr>
        <w:t xml:space="preserve">au </w:t>
      </w:r>
      <w:r w:rsidR="006211FE">
        <w:rPr>
          <w:rFonts w:ascii="Calibri" w:hAnsi="Calibri" w:cs="Calibri"/>
          <w:b/>
          <w:iCs/>
          <w:sz w:val="22"/>
          <w:szCs w:val="22"/>
        </w:rPr>
        <w:t>10</w:t>
      </w:r>
      <w:r w:rsidR="00B20DDB" w:rsidRPr="0012200A">
        <w:rPr>
          <w:rFonts w:ascii="Calibri" w:hAnsi="Calibri" w:cs="Calibri"/>
          <w:b/>
          <w:iCs/>
          <w:sz w:val="22"/>
          <w:szCs w:val="22"/>
        </w:rPr>
        <w:t xml:space="preserve"> octobre </w:t>
      </w:r>
      <w:r w:rsidR="00FC741E" w:rsidRPr="0012200A">
        <w:rPr>
          <w:rFonts w:ascii="Calibri" w:hAnsi="Calibri" w:cs="Calibri"/>
          <w:b/>
          <w:iCs/>
          <w:sz w:val="22"/>
          <w:szCs w:val="22"/>
        </w:rPr>
        <w:t>201</w:t>
      </w:r>
      <w:r w:rsidR="006765B7" w:rsidRPr="0012200A">
        <w:rPr>
          <w:rFonts w:ascii="Calibri" w:hAnsi="Calibri" w:cs="Calibri"/>
          <w:b/>
          <w:iCs/>
          <w:sz w:val="22"/>
          <w:szCs w:val="22"/>
        </w:rPr>
        <w:t>4</w:t>
      </w:r>
      <w:r w:rsidRPr="0012200A">
        <w:rPr>
          <w:rFonts w:ascii="Calibri" w:hAnsi="Calibri" w:cs="Calibri"/>
          <w:b/>
          <w:iCs/>
          <w:sz w:val="22"/>
          <w:szCs w:val="22"/>
        </w:rPr>
        <w:t xml:space="preserve"> à </w:t>
      </w:r>
      <w:r w:rsidR="00B20DDB" w:rsidRPr="0012200A">
        <w:rPr>
          <w:rFonts w:ascii="Calibri" w:hAnsi="Calibri" w:cs="Calibri"/>
          <w:b/>
          <w:iCs/>
          <w:sz w:val="22"/>
          <w:szCs w:val="22"/>
        </w:rPr>
        <w:t>08h00</w:t>
      </w:r>
      <w:r w:rsidRPr="0012200A">
        <w:rPr>
          <w:rFonts w:ascii="Calibri" w:hAnsi="Calibri" w:cs="Calibri"/>
          <w:b/>
          <w:iCs/>
          <w:sz w:val="22"/>
          <w:szCs w:val="22"/>
        </w:rPr>
        <w:t xml:space="preserve">  (GMT+11)</w:t>
      </w:r>
      <w:r w:rsidRPr="0012200A">
        <w:rPr>
          <w:rFonts w:ascii="Calibri" w:hAnsi="Calibri" w:cs="Calibri"/>
          <w:iCs/>
          <w:sz w:val="22"/>
          <w:szCs w:val="22"/>
        </w:rPr>
        <w:t xml:space="preserve"> dernier délai.</w:t>
      </w:r>
    </w:p>
    <w:p w14:paraId="04D0775F" w14:textId="77777777" w:rsidR="00DE5F76" w:rsidRPr="0012200A" w:rsidRDefault="00DE5F76" w:rsidP="00BE40C4">
      <w:pPr>
        <w:pStyle w:val="Corpsdetexte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2200A">
        <w:rPr>
          <w:rFonts w:ascii="Calibri" w:hAnsi="Calibri" w:cs="Calibri"/>
          <w:iCs/>
          <w:sz w:val="22"/>
          <w:szCs w:val="22"/>
        </w:rPr>
        <w:t>L’offre sera adressée par voie électronique à l’adresse :</w:t>
      </w:r>
    </w:p>
    <w:p w14:paraId="4C802957" w14:textId="0F1A5EDB" w:rsidR="00DE5F76" w:rsidRDefault="00432396" w:rsidP="00BE40C4">
      <w:pPr>
        <w:pStyle w:val="Corpsdetexte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hyperlink r:id="rId14" w:history="1">
        <w:r w:rsidR="000E3259" w:rsidRPr="0012200A">
          <w:rPr>
            <w:rStyle w:val="Lienhypertexte"/>
            <w:rFonts w:asciiTheme="minorHAnsi" w:hAnsiTheme="minorHAnsi" w:cstheme="minorHAnsi"/>
            <w:sz w:val="22"/>
            <w:szCs w:val="22"/>
          </w:rPr>
          <w:t>matthieu.juncker</w:t>
        </w:r>
        <w:r w:rsidR="000E3259" w:rsidRPr="0012200A">
          <w:rPr>
            <w:rStyle w:val="Lienhypertexte"/>
            <w:rFonts w:asciiTheme="minorHAnsi" w:hAnsiTheme="minorHAnsi" w:cstheme="minorHAnsi"/>
            <w:iCs/>
            <w:sz w:val="22"/>
            <w:szCs w:val="22"/>
          </w:rPr>
          <w:t>@o</w:t>
        </w:r>
        <w:r w:rsidR="000E3259" w:rsidRPr="0012200A">
          <w:rPr>
            <w:rStyle w:val="Lienhypertexte"/>
            <w:rFonts w:ascii="Calibri" w:hAnsi="Calibri" w:cs="Calibri"/>
            <w:iCs/>
            <w:sz w:val="22"/>
            <w:szCs w:val="22"/>
          </w:rPr>
          <w:t>eil.nc</w:t>
        </w:r>
      </w:hyperlink>
      <w:r w:rsidR="00DE5F76" w:rsidRPr="0012200A">
        <w:rPr>
          <w:rFonts w:ascii="Calibri" w:hAnsi="Calibri" w:cs="Calibri"/>
          <w:iCs/>
          <w:sz w:val="22"/>
          <w:szCs w:val="22"/>
        </w:rPr>
        <w:t xml:space="preserve"> (prévoir un accusé de réception).</w:t>
      </w:r>
    </w:p>
    <w:p w14:paraId="6BBEC06D" w14:textId="481A0504" w:rsidR="00DE5F76" w:rsidRPr="00371BBD" w:rsidRDefault="00DE5F76" w:rsidP="00BE40C4">
      <w:pPr>
        <w:pStyle w:val="Corpsdetexte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371BBD">
        <w:rPr>
          <w:rFonts w:ascii="Calibri" w:hAnsi="Calibri" w:cs="Calibri"/>
          <w:iCs/>
          <w:sz w:val="22"/>
          <w:szCs w:val="22"/>
        </w:rPr>
        <w:t xml:space="preserve">Les dossiers parvenus </w:t>
      </w:r>
      <w:r>
        <w:rPr>
          <w:rFonts w:ascii="Calibri" w:hAnsi="Calibri" w:cs="Calibri"/>
          <w:iCs/>
          <w:sz w:val="22"/>
          <w:szCs w:val="22"/>
        </w:rPr>
        <w:t>après la date et l’heure limite</w:t>
      </w:r>
      <w:r w:rsidRPr="00371BBD">
        <w:rPr>
          <w:rFonts w:ascii="Calibri" w:hAnsi="Calibri" w:cs="Calibri"/>
          <w:iCs/>
          <w:sz w:val="22"/>
          <w:szCs w:val="22"/>
        </w:rPr>
        <w:t xml:space="preserve"> de réception des offres ne seront pas retenu</w:t>
      </w:r>
      <w:r w:rsidR="00B41782">
        <w:rPr>
          <w:rFonts w:ascii="Calibri" w:hAnsi="Calibri" w:cs="Calibri"/>
          <w:iCs/>
          <w:sz w:val="22"/>
          <w:szCs w:val="22"/>
        </w:rPr>
        <w:t>e</w:t>
      </w:r>
      <w:r w:rsidRPr="00371BBD">
        <w:rPr>
          <w:rFonts w:ascii="Calibri" w:hAnsi="Calibri" w:cs="Calibri"/>
          <w:iCs/>
          <w:sz w:val="22"/>
          <w:szCs w:val="22"/>
        </w:rPr>
        <w:t>s.</w:t>
      </w:r>
    </w:p>
    <w:p w14:paraId="0FE8FCED" w14:textId="77777777" w:rsidR="001A7EB4" w:rsidRDefault="001A7EB4" w:rsidP="001A7EB4">
      <w:pPr>
        <w:pStyle w:val="Titre2"/>
        <w:keepNext w:val="0"/>
        <w:keepLines w:val="0"/>
        <w:tabs>
          <w:tab w:val="clear" w:pos="720"/>
        </w:tabs>
        <w:spacing w:before="0" w:after="60"/>
        <w:ind w:left="0" w:firstLine="0"/>
        <w:rPr>
          <w:rFonts w:eastAsiaTheme="minorHAnsi" w:cstheme="minorBidi"/>
          <w:bCs w:val="0"/>
          <w:color w:val="auto"/>
          <w:sz w:val="22"/>
          <w:szCs w:val="22"/>
        </w:rPr>
      </w:pPr>
    </w:p>
    <w:p w14:paraId="783BD627" w14:textId="77777777" w:rsidR="00DE5F76" w:rsidRDefault="003B364A" w:rsidP="003B364A">
      <w:pPr>
        <w:tabs>
          <w:tab w:val="left" w:pos="3330"/>
        </w:tabs>
        <w:spacing w:after="0"/>
        <w:jc w:val="both"/>
        <w:rPr>
          <w:b/>
          <w:sz w:val="28"/>
        </w:rPr>
      </w:pPr>
      <w:r w:rsidRPr="003B364A">
        <w:rPr>
          <w:b/>
          <w:sz w:val="28"/>
        </w:rPr>
        <w:t>DÉLAI</w:t>
      </w:r>
      <w:r w:rsidR="001A7EB4" w:rsidRPr="003B364A">
        <w:rPr>
          <w:b/>
          <w:sz w:val="28"/>
        </w:rPr>
        <w:t xml:space="preserve"> DE </w:t>
      </w:r>
      <w:r w:rsidRPr="003B364A">
        <w:rPr>
          <w:b/>
          <w:sz w:val="28"/>
        </w:rPr>
        <w:t>VALIDITÉ</w:t>
      </w:r>
    </w:p>
    <w:p w14:paraId="2A939001" w14:textId="10A3867B" w:rsidR="00DE5F76" w:rsidRPr="00371BBD" w:rsidRDefault="00DE5F76" w:rsidP="00BE40C4">
      <w:pPr>
        <w:pStyle w:val="Corpsdetexte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371BBD">
        <w:rPr>
          <w:rFonts w:ascii="Calibri" w:hAnsi="Calibri" w:cs="Calibri"/>
          <w:iCs/>
          <w:sz w:val="22"/>
          <w:szCs w:val="22"/>
        </w:rPr>
        <w:t xml:space="preserve">Le délai minimum </w:t>
      </w:r>
      <w:r w:rsidR="001A7EB4">
        <w:rPr>
          <w:rFonts w:ascii="Calibri" w:hAnsi="Calibri" w:cs="Calibri"/>
          <w:iCs/>
          <w:sz w:val="22"/>
          <w:szCs w:val="22"/>
        </w:rPr>
        <w:t xml:space="preserve">de validité de l’offre </w:t>
      </w:r>
      <w:r w:rsidR="00A0436F">
        <w:rPr>
          <w:rFonts w:ascii="Calibri" w:hAnsi="Calibri" w:cs="Calibri"/>
          <w:iCs/>
          <w:sz w:val="22"/>
          <w:szCs w:val="22"/>
        </w:rPr>
        <w:t>doit être</w:t>
      </w:r>
      <w:r w:rsidR="001A7EB4">
        <w:rPr>
          <w:rFonts w:ascii="Calibri" w:hAnsi="Calibri" w:cs="Calibri"/>
          <w:iCs/>
          <w:sz w:val="22"/>
          <w:szCs w:val="22"/>
        </w:rPr>
        <w:t xml:space="preserve"> de 6</w:t>
      </w:r>
      <w:r w:rsidRPr="00371BBD">
        <w:rPr>
          <w:rFonts w:ascii="Calibri" w:hAnsi="Calibri" w:cs="Calibri"/>
          <w:iCs/>
          <w:sz w:val="22"/>
          <w:szCs w:val="22"/>
        </w:rPr>
        <w:t>0 jours à compter de sa date de réception.</w:t>
      </w:r>
    </w:p>
    <w:p w14:paraId="7A083753" w14:textId="77777777" w:rsidR="001A7EB4" w:rsidRDefault="001A7EB4" w:rsidP="001A7EB4">
      <w:pPr>
        <w:pStyle w:val="Titre2"/>
        <w:keepNext w:val="0"/>
        <w:keepLines w:val="0"/>
        <w:tabs>
          <w:tab w:val="clear" w:pos="720"/>
        </w:tabs>
        <w:spacing w:before="0" w:after="60"/>
        <w:ind w:left="0" w:firstLine="0"/>
        <w:rPr>
          <w:rFonts w:eastAsiaTheme="minorHAnsi" w:cstheme="minorBidi"/>
          <w:bCs w:val="0"/>
          <w:color w:val="auto"/>
          <w:sz w:val="22"/>
          <w:szCs w:val="22"/>
        </w:rPr>
      </w:pPr>
    </w:p>
    <w:p w14:paraId="4BA6C0CA" w14:textId="77777777" w:rsidR="00B20DDB" w:rsidRDefault="001A7EB4" w:rsidP="00B20DDB">
      <w:pPr>
        <w:tabs>
          <w:tab w:val="left" w:pos="3330"/>
        </w:tabs>
        <w:spacing w:after="0"/>
        <w:jc w:val="both"/>
        <w:rPr>
          <w:b/>
          <w:sz w:val="28"/>
        </w:rPr>
      </w:pPr>
      <w:r w:rsidRPr="003B364A">
        <w:rPr>
          <w:b/>
          <w:sz w:val="28"/>
        </w:rPr>
        <w:t>CONTACT</w:t>
      </w:r>
    </w:p>
    <w:p w14:paraId="210C9627" w14:textId="573EE464" w:rsidR="00DE5F76" w:rsidRPr="00371BBD" w:rsidRDefault="00DE5F76" w:rsidP="00B20DDB">
      <w:pPr>
        <w:tabs>
          <w:tab w:val="left" w:pos="3330"/>
        </w:tabs>
        <w:spacing w:after="0"/>
        <w:jc w:val="both"/>
        <w:rPr>
          <w:rFonts w:ascii="Calibri" w:hAnsi="Calibri" w:cs="Calibri"/>
          <w:iCs/>
        </w:rPr>
      </w:pPr>
      <w:r w:rsidRPr="00371BBD">
        <w:rPr>
          <w:rFonts w:ascii="Calibri" w:hAnsi="Calibri" w:cs="Calibri"/>
          <w:iCs/>
        </w:rPr>
        <w:t xml:space="preserve">Des renseignements d’ordre technique ou administratif peuvent être </w:t>
      </w:r>
      <w:r w:rsidR="00DB2BC8">
        <w:rPr>
          <w:rFonts w:ascii="Calibri" w:hAnsi="Calibri" w:cs="Calibri"/>
          <w:iCs/>
        </w:rPr>
        <w:t>adress</w:t>
      </w:r>
      <w:r w:rsidRPr="00371BBD">
        <w:rPr>
          <w:rFonts w:ascii="Calibri" w:hAnsi="Calibri" w:cs="Calibri"/>
          <w:iCs/>
        </w:rPr>
        <w:t>és à :</w:t>
      </w:r>
    </w:p>
    <w:p w14:paraId="7AE92909" w14:textId="03CC8153" w:rsidR="00DE5F76" w:rsidRPr="0012200A" w:rsidRDefault="00B20DDB" w:rsidP="00F235B4">
      <w:pPr>
        <w:pStyle w:val="Corpsdetexte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2200A">
        <w:rPr>
          <w:rFonts w:ascii="Calibri" w:hAnsi="Calibri" w:cs="Calibri"/>
          <w:iCs/>
          <w:sz w:val="22"/>
          <w:szCs w:val="22"/>
        </w:rPr>
        <w:t>Matthieu JUNCKER</w:t>
      </w:r>
    </w:p>
    <w:p w14:paraId="4B4640B0" w14:textId="196BC722" w:rsidR="00DE5F76" w:rsidRPr="00371BBD" w:rsidRDefault="00DE5F76" w:rsidP="00F235B4">
      <w:pPr>
        <w:pStyle w:val="Corpsdetexte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2200A">
        <w:rPr>
          <w:rFonts w:ascii="Calibri" w:hAnsi="Calibri" w:cs="Calibri"/>
          <w:iCs/>
          <w:sz w:val="22"/>
          <w:szCs w:val="22"/>
        </w:rPr>
        <w:t xml:space="preserve">Courriel : </w:t>
      </w:r>
      <w:hyperlink r:id="rId15" w:history="1">
        <w:r w:rsidR="000E3259" w:rsidRPr="0012200A">
          <w:rPr>
            <w:rStyle w:val="Lienhypertexte"/>
            <w:rFonts w:asciiTheme="minorHAnsi" w:hAnsiTheme="minorHAnsi" w:cstheme="minorHAnsi"/>
            <w:sz w:val="22"/>
            <w:szCs w:val="22"/>
          </w:rPr>
          <w:t>matthieu.juncker</w:t>
        </w:r>
        <w:r w:rsidR="000E3259" w:rsidRPr="0012200A">
          <w:rPr>
            <w:rStyle w:val="Lienhypertexte"/>
            <w:rFonts w:asciiTheme="minorHAnsi" w:hAnsiTheme="minorHAnsi" w:cstheme="minorHAnsi"/>
            <w:iCs/>
            <w:sz w:val="22"/>
            <w:szCs w:val="22"/>
          </w:rPr>
          <w:t>@o</w:t>
        </w:r>
        <w:r w:rsidR="000E3259" w:rsidRPr="0012200A">
          <w:rPr>
            <w:rStyle w:val="Lienhypertexte"/>
            <w:rFonts w:ascii="Calibri" w:hAnsi="Calibri" w:cs="Calibri"/>
            <w:iCs/>
            <w:sz w:val="22"/>
            <w:szCs w:val="22"/>
          </w:rPr>
          <w:t>eil.nc</w:t>
        </w:r>
      </w:hyperlink>
    </w:p>
    <w:p w14:paraId="612C78A7" w14:textId="77777777" w:rsidR="00DE5F76" w:rsidRDefault="00DE5F76" w:rsidP="00F235B4">
      <w:pPr>
        <w:pStyle w:val="Corpsdetexte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371BBD">
        <w:rPr>
          <w:rFonts w:ascii="Calibri" w:hAnsi="Calibri" w:cs="Calibri"/>
          <w:iCs/>
          <w:sz w:val="22"/>
          <w:szCs w:val="22"/>
        </w:rPr>
        <w:t>Tel : (</w:t>
      </w:r>
      <w:r>
        <w:rPr>
          <w:rFonts w:ascii="Calibri" w:hAnsi="Calibri" w:cs="Calibri"/>
          <w:iCs/>
          <w:sz w:val="22"/>
          <w:szCs w:val="22"/>
        </w:rPr>
        <w:t>+</w:t>
      </w:r>
      <w:r w:rsidRPr="00371BBD">
        <w:rPr>
          <w:rFonts w:ascii="Calibri" w:hAnsi="Calibri" w:cs="Calibri"/>
          <w:iCs/>
          <w:sz w:val="22"/>
          <w:szCs w:val="22"/>
        </w:rPr>
        <w:t>687)23-69-69</w:t>
      </w:r>
    </w:p>
    <w:p w14:paraId="3C9D8A53" w14:textId="6195D8DF" w:rsidR="00341A56" w:rsidRDefault="00341A56">
      <w:pPr>
        <w:rPr>
          <w:rFonts w:ascii="Calibri" w:eastAsia="Times New Roman" w:hAnsi="Calibri" w:cs="Calibri"/>
          <w:iCs/>
          <w:lang w:eastAsia="fr-FR"/>
        </w:rPr>
      </w:pPr>
    </w:p>
    <w:sectPr w:rsidR="00341A56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C8DED" w14:textId="77777777" w:rsidR="00625E5F" w:rsidRDefault="00625E5F" w:rsidP="001E77EC">
      <w:pPr>
        <w:spacing w:after="0" w:line="240" w:lineRule="auto"/>
      </w:pPr>
      <w:r>
        <w:separator/>
      </w:r>
    </w:p>
  </w:endnote>
  <w:endnote w:type="continuationSeparator" w:id="0">
    <w:p w14:paraId="5977CCB8" w14:textId="77777777" w:rsidR="00625E5F" w:rsidRDefault="00625E5F" w:rsidP="001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A254E" w14:textId="77777777" w:rsidR="00625E5F" w:rsidRDefault="00625E5F" w:rsidP="00CD6B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861F44" w14:textId="77777777" w:rsidR="00625E5F" w:rsidRDefault="00625E5F" w:rsidP="00E6250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6049F" w14:textId="77777777" w:rsidR="00625E5F" w:rsidRDefault="00625E5F" w:rsidP="009642E6">
    <w:pPr>
      <w:pStyle w:val="Pieddepage"/>
      <w:framePr w:wrap="around" w:vAnchor="text" w:hAnchor="page" w:x="10396" w:y="25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2396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5E330B9D" w14:textId="3B68E298" w:rsidR="00625E5F" w:rsidRDefault="00625E5F" w:rsidP="00CD6B0E">
    <w:pPr>
      <w:pStyle w:val="Pieddepage"/>
      <w:ind w:right="360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F157" wp14:editId="3D8F6E7F">
              <wp:simplePos x="0" y="0"/>
              <wp:positionH relativeFrom="column">
                <wp:posOffset>4572899</wp:posOffset>
              </wp:positionH>
              <wp:positionV relativeFrom="paragraph">
                <wp:posOffset>86360</wp:posOffset>
              </wp:positionV>
              <wp:extent cx="1776730" cy="0"/>
              <wp:effectExtent l="0" t="0" r="13970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67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necteur droit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05pt,6.8pt" to="499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" strokecolor="black [3213]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EDA73" wp14:editId="7D5F3F39">
              <wp:simplePos x="0" y="0"/>
              <wp:positionH relativeFrom="column">
                <wp:posOffset>-570601</wp:posOffset>
              </wp:positionH>
              <wp:positionV relativeFrom="paragraph">
                <wp:posOffset>85725</wp:posOffset>
              </wp:positionV>
              <wp:extent cx="1776730" cy="0"/>
              <wp:effectExtent l="0" t="0" r="1397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67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4.95pt,6.75pt" to="94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" strokecolor="black [3213]"/>
          </w:pict>
        </mc:Fallback>
      </mc:AlternateContent>
    </w:r>
    <w:r>
      <w:t xml:space="preserve">        Observatoire de l’environnement en Nouvelle-Calédonie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22AF8" w14:textId="77777777" w:rsidR="00625E5F" w:rsidRDefault="00625E5F" w:rsidP="001E77EC">
      <w:pPr>
        <w:spacing w:after="0" w:line="240" w:lineRule="auto"/>
      </w:pPr>
      <w:r>
        <w:separator/>
      </w:r>
    </w:p>
  </w:footnote>
  <w:footnote w:type="continuationSeparator" w:id="0">
    <w:p w14:paraId="143548A7" w14:textId="77777777" w:rsidR="00625E5F" w:rsidRDefault="00625E5F" w:rsidP="001E77EC">
      <w:pPr>
        <w:spacing w:after="0" w:line="240" w:lineRule="auto"/>
      </w:pPr>
      <w:r>
        <w:continuationSeparator/>
      </w:r>
    </w:p>
  </w:footnote>
  <w:footnote w:id="1">
    <w:p w14:paraId="051FF1D5" w14:textId="77777777" w:rsidR="00625E5F" w:rsidRPr="00AC48CA" w:rsidRDefault="00625E5F" w:rsidP="00F22490">
      <w:pPr>
        <w:pStyle w:val="Notedebasdepage"/>
        <w:rPr>
          <w:sz w:val="16"/>
          <w:szCs w:val="16"/>
          <w:lang w:val="en-US"/>
        </w:rPr>
      </w:pPr>
      <w:r w:rsidRPr="00AC48CA">
        <w:rPr>
          <w:rStyle w:val="Marquenotebasdepage"/>
          <w:sz w:val="16"/>
          <w:szCs w:val="16"/>
        </w:rPr>
        <w:footnoteRef/>
      </w:r>
      <w:r w:rsidRPr="00AC48CA">
        <w:rPr>
          <w:sz w:val="16"/>
          <w:szCs w:val="16"/>
          <w:lang w:val="en-US"/>
        </w:rPr>
        <w:t xml:space="preserve"> English, S., Wilkinson, C. &amp; Baker, V. 1997 Survey Manual for Tropical Marine Resources. ASEAN-Australian Marine Science </w:t>
      </w:r>
      <w:proofErr w:type="gramStart"/>
      <w:r w:rsidRPr="00AC48CA">
        <w:rPr>
          <w:sz w:val="16"/>
          <w:szCs w:val="16"/>
          <w:lang w:val="en-US"/>
        </w:rPr>
        <w:t>Project :</w:t>
      </w:r>
      <w:proofErr w:type="gramEnd"/>
      <w:r w:rsidRPr="00AC48CA">
        <w:rPr>
          <w:sz w:val="16"/>
          <w:szCs w:val="16"/>
          <w:lang w:val="en-US"/>
        </w:rPr>
        <w:t xml:space="preserve"> Living Coastal Resources by the Australian Institute of Marine Science, Townsville, Australia, 390 pp.</w:t>
      </w:r>
    </w:p>
  </w:footnote>
  <w:footnote w:id="2">
    <w:p w14:paraId="6950BCA2" w14:textId="77777777" w:rsidR="00625E5F" w:rsidRPr="00D23D51" w:rsidRDefault="00625E5F" w:rsidP="00C72A48">
      <w:pPr>
        <w:pStyle w:val="Notedebasdepage"/>
        <w:rPr>
          <w:lang w:val="en-US"/>
        </w:rPr>
      </w:pPr>
      <w:r w:rsidRPr="00AC48CA">
        <w:rPr>
          <w:rStyle w:val="Marquenotebasdepage"/>
          <w:sz w:val="16"/>
          <w:szCs w:val="16"/>
        </w:rPr>
        <w:footnoteRef/>
      </w:r>
      <w:r w:rsidRPr="00AC48CA">
        <w:rPr>
          <w:sz w:val="16"/>
          <w:szCs w:val="16"/>
          <w:lang w:val="en-US"/>
        </w:rPr>
        <w:t xml:space="preserve"> </w:t>
      </w:r>
      <w:proofErr w:type="spellStart"/>
      <w:r w:rsidRPr="00AC48CA">
        <w:rPr>
          <w:sz w:val="16"/>
          <w:szCs w:val="16"/>
          <w:lang w:val="en-US"/>
        </w:rPr>
        <w:t>Kulbicki</w:t>
      </w:r>
      <w:proofErr w:type="spellEnd"/>
      <w:r w:rsidRPr="00AC48CA">
        <w:rPr>
          <w:sz w:val="16"/>
          <w:szCs w:val="16"/>
          <w:lang w:val="en-US"/>
        </w:rPr>
        <w:t xml:space="preserve">, M. &amp; </w:t>
      </w:r>
      <w:proofErr w:type="spellStart"/>
      <w:r w:rsidRPr="00AC48CA">
        <w:rPr>
          <w:sz w:val="16"/>
          <w:szCs w:val="16"/>
          <w:lang w:val="en-US"/>
        </w:rPr>
        <w:t>Sarramégna</w:t>
      </w:r>
      <w:proofErr w:type="spellEnd"/>
      <w:r w:rsidRPr="00AC48CA">
        <w:rPr>
          <w:sz w:val="16"/>
          <w:szCs w:val="16"/>
          <w:lang w:val="en-US"/>
        </w:rPr>
        <w:t xml:space="preserve">, S. 1999. Comparison of density </w:t>
      </w:r>
      <w:proofErr w:type="spellStart"/>
      <w:r w:rsidRPr="00AC48CA">
        <w:rPr>
          <w:sz w:val="16"/>
          <w:szCs w:val="16"/>
          <w:lang w:val="en-US"/>
        </w:rPr>
        <w:t>esti</w:t>
      </w:r>
      <w:proofErr w:type="spellEnd"/>
      <w:r w:rsidRPr="00AC48CA">
        <w:rPr>
          <w:sz w:val="16"/>
          <w:szCs w:val="16"/>
          <w:lang w:val="en-US"/>
        </w:rPr>
        <w:t xml:space="preserve">- mates derived from strip transect and distance sampling for under- water visual </w:t>
      </w:r>
      <w:proofErr w:type="gramStart"/>
      <w:r w:rsidRPr="00AC48CA">
        <w:rPr>
          <w:sz w:val="16"/>
          <w:szCs w:val="16"/>
          <w:lang w:val="en-US"/>
        </w:rPr>
        <w:t>census :</w:t>
      </w:r>
      <w:proofErr w:type="gramEnd"/>
      <w:r w:rsidRPr="00AC48CA">
        <w:rPr>
          <w:sz w:val="16"/>
          <w:szCs w:val="16"/>
          <w:lang w:val="en-US"/>
        </w:rPr>
        <w:t xml:space="preserve"> a case study of </w:t>
      </w:r>
      <w:proofErr w:type="spellStart"/>
      <w:r w:rsidRPr="00AC48CA">
        <w:rPr>
          <w:sz w:val="16"/>
          <w:szCs w:val="16"/>
          <w:lang w:val="en-US"/>
        </w:rPr>
        <w:t>Chaetodontiidae</w:t>
      </w:r>
      <w:proofErr w:type="spellEnd"/>
      <w:r w:rsidRPr="00AC48CA">
        <w:rPr>
          <w:sz w:val="16"/>
          <w:szCs w:val="16"/>
          <w:lang w:val="en-US"/>
        </w:rPr>
        <w:t xml:space="preserve"> and </w:t>
      </w:r>
      <w:proofErr w:type="spellStart"/>
      <w:r w:rsidRPr="00AC48CA">
        <w:rPr>
          <w:sz w:val="16"/>
          <w:szCs w:val="16"/>
          <w:lang w:val="en-US"/>
        </w:rPr>
        <w:t>Pomacanthidae</w:t>
      </w:r>
      <w:proofErr w:type="spellEnd"/>
      <w:r w:rsidRPr="00AC48CA">
        <w:rPr>
          <w:sz w:val="16"/>
          <w:szCs w:val="16"/>
          <w:lang w:val="en-US"/>
        </w:rPr>
        <w:t>. Aquatic Living Resources, 12: 315–325.</w:t>
      </w:r>
    </w:p>
  </w:footnote>
  <w:footnote w:id="3">
    <w:p w14:paraId="59617070" w14:textId="77777777" w:rsidR="00625E5F" w:rsidRPr="00AC48CA" w:rsidRDefault="00625E5F" w:rsidP="00C72A48">
      <w:pPr>
        <w:pStyle w:val="Notedebasdepage"/>
        <w:rPr>
          <w:sz w:val="16"/>
          <w:szCs w:val="16"/>
        </w:rPr>
      </w:pPr>
      <w:r w:rsidRPr="00AC48CA">
        <w:rPr>
          <w:rStyle w:val="Marquenotebasdepage"/>
          <w:sz w:val="16"/>
          <w:szCs w:val="16"/>
        </w:rPr>
        <w:footnoteRef/>
      </w:r>
      <w:r w:rsidRPr="00AC48CA">
        <w:rPr>
          <w:sz w:val="16"/>
          <w:szCs w:val="16"/>
          <w:lang w:val="en-US"/>
        </w:rPr>
        <w:t xml:space="preserve"> </w:t>
      </w:r>
      <w:proofErr w:type="gramStart"/>
      <w:r w:rsidRPr="00AC48CA">
        <w:rPr>
          <w:iCs/>
          <w:sz w:val="16"/>
          <w:szCs w:val="16"/>
          <w:lang w:val="en-US"/>
        </w:rPr>
        <w:t xml:space="preserve">Fricke, R. &amp; </w:t>
      </w:r>
      <w:proofErr w:type="spellStart"/>
      <w:r w:rsidRPr="00AC48CA">
        <w:rPr>
          <w:iCs/>
          <w:sz w:val="16"/>
          <w:szCs w:val="16"/>
          <w:lang w:val="en-US"/>
        </w:rPr>
        <w:t>Kulbicki</w:t>
      </w:r>
      <w:proofErr w:type="spellEnd"/>
      <w:r w:rsidRPr="00AC48CA">
        <w:rPr>
          <w:iCs/>
          <w:sz w:val="16"/>
          <w:szCs w:val="16"/>
          <w:lang w:val="en-US"/>
        </w:rPr>
        <w:t>, M., 2007.</w:t>
      </w:r>
      <w:proofErr w:type="gramEnd"/>
      <w:r w:rsidRPr="00AC48CA">
        <w:rPr>
          <w:iCs/>
          <w:sz w:val="16"/>
          <w:szCs w:val="16"/>
          <w:lang w:val="en-US"/>
        </w:rPr>
        <w:t xml:space="preserve"> Checklist of the shore fishes of New Caledonia, </w:t>
      </w:r>
      <w:r w:rsidRPr="00AC48CA">
        <w:rPr>
          <w:i/>
          <w:iCs/>
          <w:sz w:val="16"/>
          <w:szCs w:val="16"/>
          <w:lang w:val="en-US"/>
        </w:rPr>
        <w:t>in</w:t>
      </w:r>
      <w:r w:rsidRPr="00AC48CA">
        <w:rPr>
          <w:iCs/>
          <w:sz w:val="16"/>
          <w:szCs w:val="16"/>
          <w:lang w:val="en-US"/>
        </w:rPr>
        <w:t xml:space="preserve">: </w:t>
      </w:r>
      <w:proofErr w:type="spellStart"/>
      <w:r w:rsidRPr="00AC48CA">
        <w:rPr>
          <w:iCs/>
          <w:sz w:val="16"/>
          <w:szCs w:val="16"/>
          <w:lang w:val="en-US"/>
        </w:rPr>
        <w:t>Payri</w:t>
      </w:r>
      <w:proofErr w:type="spellEnd"/>
      <w:r w:rsidRPr="00AC48CA">
        <w:rPr>
          <w:iCs/>
          <w:sz w:val="16"/>
          <w:szCs w:val="16"/>
          <w:lang w:val="en-US"/>
        </w:rPr>
        <w:t xml:space="preserve"> C.E., Richer de Forges B. (Eds.) Compendium of marine species of New Caledonia, Doc. Sci. Tech. </w:t>
      </w:r>
      <w:r w:rsidRPr="00AC48CA">
        <w:rPr>
          <w:iCs/>
          <w:sz w:val="16"/>
          <w:szCs w:val="16"/>
        </w:rPr>
        <w:t>II7, seconde édition, IRD Nouméa, pp 357-402</w:t>
      </w:r>
    </w:p>
  </w:footnote>
  <w:footnote w:id="4">
    <w:p w14:paraId="2C41E87A" w14:textId="6CAE041B" w:rsidR="00625E5F" w:rsidRDefault="00625E5F" w:rsidP="0043675E">
      <w:pPr>
        <w:pStyle w:val="Notedebasdepage"/>
      </w:pPr>
      <w:r w:rsidRPr="00BD1DF3">
        <w:rPr>
          <w:rStyle w:val="Marquenotebasdepage"/>
          <w:sz w:val="16"/>
        </w:rPr>
        <w:footnoteRef/>
      </w:r>
      <w:r w:rsidRPr="00BD1DF3">
        <w:rPr>
          <w:sz w:val="16"/>
        </w:rPr>
        <w:t xml:space="preserve"> L’observatoire a </w:t>
      </w:r>
      <w:r>
        <w:rPr>
          <w:sz w:val="16"/>
        </w:rPr>
        <w:t>mandat</w:t>
      </w:r>
      <w:r w:rsidRPr="00BD1DF3">
        <w:rPr>
          <w:sz w:val="16"/>
        </w:rPr>
        <w:t>é 2 campagne</w:t>
      </w:r>
      <w:r>
        <w:rPr>
          <w:sz w:val="16"/>
        </w:rPr>
        <w:t>s</w:t>
      </w:r>
      <w:r w:rsidRPr="00BD1DF3">
        <w:rPr>
          <w:sz w:val="16"/>
        </w:rPr>
        <w:t xml:space="preserve"> en 2013 </w:t>
      </w:r>
      <w:r>
        <w:rPr>
          <w:sz w:val="16"/>
        </w:rPr>
        <w:t xml:space="preserve">sur les baies ayant permis de caractériser les conséquences des fortes précipitations de juillet 2013 sur les communautés récifales : </w:t>
      </w:r>
      <w:hyperlink r:id="rId1" w:history="1">
        <w:r w:rsidRPr="00BD1DF3">
          <w:rPr>
            <w:rStyle w:val="Lienhypertexte"/>
            <w:sz w:val="16"/>
          </w:rPr>
          <w:t>1</w:t>
        </w:r>
        <w:r w:rsidRPr="00BD1DF3">
          <w:rPr>
            <w:rStyle w:val="Lienhypertexte"/>
            <w:sz w:val="16"/>
            <w:vertAlign w:val="superscript"/>
          </w:rPr>
          <w:t>er</w:t>
        </w:r>
        <w:r w:rsidRPr="00BD1DF3">
          <w:rPr>
            <w:rStyle w:val="Lienhypertexte"/>
            <w:sz w:val="16"/>
          </w:rPr>
          <w:t xml:space="preserve"> rapport d’expertise</w:t>
        </w:r>
      </w:hyperlink>
      <w:r>
        <w:rPr>
          <w:sz w:val="16"/>
        </w:rPr>
        <w:t xml:space="preserve">, </w:t>
      </w:r>
      <w:hyperlink r:id="rId2" w:history="1">
        <w:r w:rsidRPr="00BD1DF3">
          <w:rPr>
            <w:rStyle w:val="Lienhypertexte"/>
            <w:sz w:val="16"/>
          </w:rPr>
          <w:t>2</w:t>
        </w:r>
        <w:r w:rsidRPr="00BD1DF3">
          <w:rPr>
            <w:rStyle w:val="Lienhypertexte"/>
            <w:sz w:val="16"/>
            <w:vertAlign w:val="superscript"/>
          </w:rPr>
          <w:t xml:space="preserve">ème </w:t>
        </w:r>
        <w:r w:rsidRPr="00BD1DF3">
          <w:rPr>
            <w:rStyle w:val="Lienhypertexte"/>
            <w:sz w:val="16"/>
          </w:rPr>
          <w:t xml:space="preserve"> rapport d’expertise</w:t>
        </w:r>
      </w:hyperlink>
      <w:r>
        <w:rPr>
          <w:sz w:val="16"/>
        </w:rPr>
        <w:t>.</w:t>
      </w:r>
    </w:p>
  </w:footnote>
  <w:footnote w:id="5">
    <w:p w14:paraId="0995772B" w14:textId="08BFAB7D" w:rsidR="00625E5F" w:rsidRPr="00704FF4" w:rsidRDefault="00625E5F">
      <w:pPr>
        <w:pStyle w:val="Notedebasdepage"/>
        <w:rPr>
          <w:sz w:val="16"/>
          <w:szCs w:val="16"/>
        </w:rPr>
      </w:pPr>
      <w:r w:rsidRPr="00704FF4">
        <w:rPr>
          <w:rStyle w:val="Marquenotebasdepage"/>
          <w:sz w:val="16"/>
          <w:szCs w:val="16"/>
        </w:rPr>
        <w:footnoteRef/>
      </w:r>
      <w:r w:rsidRPr="00704FF4">
        <w:rPr>
          <w:sz w:val="16"/>
          <w:szCs w:val="16"/>
        </w:rPr>
        <w:t xml:space="preserve"> Voir résultats de l’</w:t>
      </w:r>
      <w:r>
        <w:rPr>
          <w:sz w:val="16"/>
          <w:szCs w:val="16"/>
        </w:rPr>
        <w:t xml:space="preserve">étude de l’OEIL </w:t>
      </w:r>
      <w:r w:rsidRPr="00704FF4">
        <w:rPr>
          <w:sz w:val="16"/>
          <w:szCs w:val="16"/>
        </w:rPr>
        <w:t xml:space="preserve">sur l’évolution temporelle des communautés récifales des baies </w:t>
      </w:r>
      <w:proofErr w:type="spellStart"/>
      <w:r w:rsidRPr="00704FF4">
        <w:rPr>
          <w:sz w:val="16"/>
          <w:szCs w:val="16"/>
        </w:rPr>
        <w:t>Kwé</w:t>
      </w:r>
      <w:proofErr w:type="spellEnd"/>
      <w:r w:rsidRPr="00704FF4">
        <w:rPr>
          <w:sz w:val="16"/>
          <w:szCs w:val="16"/>
        </w:rPr>
        <w:t xml:space="preserve"> et de port-boisé en 2013 : </w:t>
      </w:r>
      <w:hyperlink r:id="rId3" w:history="1">
        <w:r w:rsidRPr="00704FF4">
          <w:rPr>
            <w:rStyle w:val="Lienhypertexte"/>
            <w:sz w:val="16"/>
            <w:szCs w:val="16"/>
          </w:rPr>
          <w:t>2</w:t>
        </w:r>
        <w:r w:rsidRPr="00704FF4">
          <w:rPr>
            <w:rStyle w:val="Lienhypertexte"/>
            <w:sz w:val="16"/>
            <w:szCs w:val="16"/>
            <w:vertAlign w:val="superscript"/>
          </w:rPr>
          <w:t xml:space="preserve">ème </w:t>
        </w:r>
        <w:r w:rsidRPr="00704FF4">
          <w:rPr>
            <w:rStyle w:val="Lienhypertexte"/>
            <w:sz w:val="16"/>
            <w:szCs w:val="16"/>
          </w:rPr>
          <w:t xml:space="preserve"> rapport d’expertise</w:t>
        </w:r>
      </w:hyperlink>
      <w:r w:rsidRPr="00704FF4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9AD"/>
    <w:multiLevelType w:val="hybridMultilevel"/>
    <w:tmpl w:val="33B28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F5381"/>
    <w:multiLevelType w:val="hybridMultilevel"/>
    <w:tmpl w:val="990C08E6"/>
    <w:lvl w:ilvl="0" w:tplc="FA183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02751"/>
    <w:multiLevelType w:val="hybridMultilevel"/>
    <w:tmpl w:val="18BE79DE"/>
    <w:lvl w:ilvl="0" w:tplc="00C01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9483E"/>
    <w:multiLevelType w:val="hybridMultilevel"/>
    <w:tmpl w:val="7CA09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E4471"/>
    <w:multiLevelType w:val="hybridMultilevel"/>
    <w:tmpl w:val="70AE5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40CE4"/>
    <w:multiLevelType w:val="hybridMultilevel"/>
    <w:tmpl w:val="6714DC48"/>
    <w:lvl w:ilvl="0" w:tplc="00C01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12AC7"/>
    <w:multiLevelType w:val="hybridMultilevel"/>
    <w:tmpl w:val="9CA04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12E7E"/>
    <w:multiLevelType w:val="hybridMultilevel"/>
    <w:tmpl w:val="A0EE5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F1DDA"/>
    <w:multiLevelType w:val="hybridMultilevel"/>
    <w:tmpl w:val="6FF0B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5417EC"/>
    <w:multiLevelType w:val="hybridMultilevel"/>
    <w:tmpl w:val="E9F62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00979"/>
    <w:multiLevelType w:val="multilevel"/>
    <w:tmpl w:val="D4F2E7C8"/>
    <w:lvl w:ilvl="0">
      <w:start w:val="1"/>
      <w:numFmt w:val="upperRoman"/>
      <w:lvlText w:val="%1."/>
      <w:lvlJc w:val="left"/>
      <w:pPr>
        <w:ind w:left="502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Letter"/>
      <w:lvlRestart w:val="0"/>
      <w:lvlText w:val="%1.%2.%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none"/>
      <w:lvlText w:val="I.1.a.1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A3D5950"/>
    <w:multiLevelType w:val="hybridMultilevel"/>
    <w:tmpl w:val="CA3AB090"/>
    <w:lvl w:ilvl="0" w:tplc="307A3D4C">
      <w:start w:val="1"/>
      <w:numFmt w:val="bullet"/>
      <w:lvlText w:val=""/>
      <w:lvlJc w:val="left"/>
      <w:pPr>
        <w:tabs>
          <w:tab w:val="num" w:pos="644"/>
        </w:tabs>
        <w:ind w:left="397" w:hanging="113"/>
      </w:pPr>
      <w:rPr>
        <w:rFonts w:ascii="Symbol" w:eastAsia="Times New Roman" w:hAnsi="Symbol" w:cs="Times New Roman" w:hint="default"/>
      </w:rPr>
    </w:lvl>
    <w:lvl w:ilvl="1" w:tplc="040C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F0548D"/>
    <w:multiLevelType w:val="hybridMultilevel"/>
    <w:tmpl w:val="E6AE4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91DFA"/>
    <w:multiLevelType w:val="hybridMultilevel"/>
    <w:tmpl w:val="7A4AE83C"/>
    <w:lvl w:ilvl="0" w:tplc="55B2E898">
      <w:start w:val="1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51D22C33"/>
    <w:multiLevelType w:val="hybridMultilevel"/>
    <w:tmpl w:val="7974DDE0"/>
    <w:lvl w:ilvl="0" w:tplc="CD62A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903C9"/>
    <w:multiLevelType w:val="hybridMultilevel"/>
    <w:tmpl w:val="D890B6FE"/>
    <w:lvl w:ilvl="0" w:tplc="805473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6068"/>
    <w:multiLevelType w:val="hybridMultilevel"/>
    <w:tmpl w:val="8576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756129"/>
    <w:multiLevelType w:val="hybridMultilevel"/>
    <w:tmpl w:val="555C4136"/>
    <w:lvl w:ilvl="0" w:tplc="805473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07257"/>
    <w:multiLevelType w:val="hybridMultilevel"/>
    <w:tmpl w:val="61AEB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D5062"/>
    <w:multiLevelType w:val="hybridMultilevel"/>
    <w:tmpl w:val="42CAA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B5462"/>
    <w:multiLevelType w:val="multilevel"/>
    <w:tmpl w:val="A98E44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tyle1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75006127"/>
    <w:multiLevelType w:val="hybridMultilevel"/>
    <w:tmpl w:val="954CFBAA"/>
    <w:lvl w:ilvl="0" w:tplc="55B2E8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36DE2"/>
    <w:multiLevelType w:val="hybridMultilevel"/>
    <w:tmpl w:val="8C3A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"/>
  </w:num>
  <w:num w:numId="5">
    <w:abstractNumId w:val="4"/>
  </w:num>
  <w:num w:numId="6">
    <w:abstractNumId w:val="21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11"/>
  </w:num>
  <w:num w:numId="12">
    <w:abstractNumId w:val="17"/>
  </w:num>
  <w:num w:numId="13">
    <w:abstractNumId w:val="18"/>
  </w:num>
  <w:num w:numId="14">
    <w:abstractNumId w:val="15"/>
  </w:num>
  <w:num w:numId="15">
    <w:abstractNumId w:val="6"/>
  </w:num>
  <w:num w:numId="16">
    <w:abstractNumId w:val="20"/>
  </w:num>
  <w:num w:numId="17">
    <w:abstractNumId w:val="0"/>
  </w:num>
  <w:num w:numId="18">
    <w:abstractNumId w:val="9"/>
  </w:num>
  <w:num w:numId="19">
    <w:abstractNumId w:val="22"/>
  </w:num>
  <w:num w:numId="20">
    <w:abstractNumId w:val="16"/>
  </w:num>
  <w:num w:numId="21">
    <w:abstractNumId w:val="12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7D"/>
    <w:rsid w:val="00000C4E"/>
    <w:rsid w:val="00004212"/>
    <w:rsid w:val="00005E3B"/>
    <w:rsid w:val="000069C1"/>
    <w:rsid w:val="00024E48"/>
    <w:rsid w:val="00034701"/>
    <w:rsid w:val="00036B7C"/>
    <w:rsid w:val="000438C7"/>
    <w:rsid w:val="000528DE"/>
    <w:rsid w:val="00055133"/>
    <w:rsid w:val="00057A3E"/>
    <w:rsid w:val="0006388B"/>
    <w:rsid w:val="000815FB"/>
    <w:rsid w:val="00081A80"/>
    <w:rsid w:val="0008369C"/>
    <w:rsid w:val="00086E4F"/>
    <w:rsid w:val="000A76E1"/>
    <w:rsid w:val="000B04CC"/>
    <w:rsid w:val="000D029B"/>
    <w:rsid w:val="000D161F"/>
    <w:rsid w:val="000D3FAB"/>
    <w:rsid w:val="000E3259"/>
    <w:rsid w:val="00121185"/>
    <w:rsid w:val="0012200A"/>
    <w:rsid w:val="00123A2C"/>
    <w:rsid w:val="00130CE6"/>
    <w:rsid w:val="00131218"/>
    <w:rsid w:val="0013734E"/>
    <w:rsid w:val="00147F8D"/>
    <w:rsid w:val="001756C8"/>
    <w:rsid w:val="00184429"/>
    <w:rsid w:val="001909E7"/>
    <w:rsid w:val="00192609"/>
    <w:rsid w:val="00195042"/>
    <w:rsid w:val="001A7EB4"/>
    <w:rsid w:val="001B17C8"/>
    <w:rsid w:val="001B511D"/>
    <w:rsid w:val="001C49B8"/>
    <w:rsid w:val="001D31EE"/>
    <w:rsid w:val="001E0F94"/>
    <w:rsid w:val="001E742B"/>
    <w:rsid w:val="001E77EC"/>
    <w:rsid w:val="001E796A"/>
    <w:rsid w:val="001F6CF2"/>
    <w:rsid w:val="001F7A6F"/>
    <w:rsid w:val="00206269"/>
    <w:rsid w:val="00215471"/>
    <w:rsid w:val="002164BE"/>
    <w:rsid w:val="00235375"/>
    <w:rsid w:val="00243224"/>
    <w:rsid w:val="00255343"/>
    <w:rsid w:val="002951B4"/>
    <w:rsid w:val="002A4B9A"/>
    <w:rsid w:val="002A69A4"/>
    <w:rsid w:val="002C4041"/>
    <w:rsid w:val="002C429B"/>
    <w:rsid w:val="002E3A38"/>
    <w:rsid w:val="002E5967"/>
    <w:rsid w:val="002F2FC7"/>
    <w:rsid w:val="00310ACE"/>
    <w:rsid w:val="0032774F"/>
    <w:rsid w:val="00340764"/>
    <w:rsid w:val="00341A56"/>
    <w:rsid w:val="00345A64"/>
    <w:rsid w:val="00381ED7"/>
    <w:rsid w:val="00383D08"/>
    <w:rsid w:val="00383F31"/>
    <w:rsid w:val="003874C2"/>
    <w:rsid w:val="00393B58"/>
    <w:rsid w:val="003968F8"/>
    <w:rsid w:val="003A1C52"/>
    <w:rsid w:val="003A6E1E"/>
    <w:rsid w:val="003B364A"/>
    <w:rsid w:val="003C2D50"/>
    <w:rsid w:val="003D6670"/>
    <w:rsid w:val="003E50FF"/>
    <w:rsid w:val="003E7C66"/>
    <w:rsid w:val="003F1BD7"/>
    <w:rsid w:val="003F3C14"/>
    <w:rsid w:val="0040068A"/>
    <w:rsid w:val="00402513"/>
    <w:rsid w:val="00402D1F"/>
    <w:rsid w:val="00407230"/>
    <w:rsid w:val="004124B5"/>
    <w:rsid w:val="00432396"/>
    <w:rsid w:val="00433C07"/>
    <w:rsid w:val="004356DD"/>
    <w:rsid w:val="0043675E"/>
    <w:rsid w:val="00450A8C"/>
    <w:rsid w:val="00464E03"/>
    <w:rsid w:val="00471098"/>
    <w:rsid w:val="00471A9E"/>
    <w:rsid w:val="004B1E17"/>
    <w:rsid w:val="004C4C3D"/>
    <w:rsid w:val="004C6CE5"/>
    <w:rsid w:val="004D7A99"/>
    <w:rsid w:val="004E25A9"/>
    <w:rsid w:val="004F5AB5"/>
    <w:rsid w:val="00500BC4"/>
    <w:rsid w:val="00510018"/>
    <w:rsid w:val="005223CB"/>
    <w:rsid w:val="00522CBC"/>
    <w:rsid w:val="0054031E"/>
    <w:rsid w:val="005563E4"/>
    <w:rsid w:val="00564732"/>
    <w:rsid w:val="005765BE"/>
    <w:rsid w:val="00581CDA"/>
    <w:rsid w:val="005845A9"/>
    <w:rsid w:val="005903E4"/>
    <w:rsid w:val="005A20BB"/>
    <w:rsid w:val="005B6BA4"/>
    <w:rsid w:val="005C30B5"/>
    <w:rsid w:val="005D6087"/>
    <w:rsid w:val="005E44F7"/>
    <w:rsid w:val="005E51BB"/>
    <w:rsid w:val="005E643D"/>
    <w:rsid w:val="005E6791"/>
    <w:rsid w:val="005E6837"/>
    <w:rsid w:val="00600B0E"/>
    <w:rsid w:val="006079DB"/>
    <w:rsid w:val="00615E4B"/>
    <w:rsid w:val="006211FE"/>
    <w:rsid w:val="00625E5F"/>
    <w:rsid w:val="00627178"/>
    <w:rsid w:val="006419C1"/>
    <w:rsid w:val="00646317"/>
    <w:rsid w:val="00650522"/>
    <w:rsid w:val="006552C2"/>
    <w:rsid w:val="006765B7"/>
    <w:rsid w:val="00685C7C"/>
    <w:rsid w:val="006A0DBF"/>
    <w:rsid w:val="006C183A"/>
    <w:rsid w:val="006D0B0E"/>
    <w:rsid w:val="006D29AB"/>
    <w:rsid w:val="006D54B1"/>
    <w:rsid w:val="006E6E8C"/>
    <w:rsid w:val="006F17FB"/>
    <w:rsid w:val="006F4F49"/>
    <w:rsid w:val="006F4F56"/>
    <w:rsid w:val="006F5184"/>
    <w:rsid w:val="00702ADF"/>
    <w:rsid w:val="00704FF4"/>
    <w:rsid w:val="0072063E"/>
    <w:rsid w:val="00722790"/>
    <w:rsid w:val="007449E0"/>
    <w:rsid w:val="00747985"/>
    <w:rsid w:val="00752AB3"/>
    <w:rsid w:val="00764AC3"/>
    <w:rsid w:val="0076597D"/>
    <w:rsid w:val="00785352"/>
    <w:rsid w:val="007865FF"/>
    <w:rsid w:val="00790149"/>
    <w:rsid w:val="007A348A"/>
    <w:rsid w:val="007A3B61"/>
    <w:rsid w:val="007C129E"/>
    <w:rsid w:val="007D4AC7"/>
    <w:rsid w:val="007D7081"/>
    <w:rsid w:val="007E5737"/>
    <w:rsid w:val="007E6DF3"/>
    <w:rsid w:val="007F3ECB"/>
    <w:rsid w:val="007F5810"/>
    <w:rsid w:val="008028A6"/>
    <w:rsid w:val="00805050"/>
    <w:rsid w:val="0080768A"/>
    <w:rsid w:val="008208D7"/>
    <w:rsid w:val="00820E1B"/>
    <w:rsid w:val="0082565D"/>
    <w:rsid w:val="00843CAB"/>
    <w:rsid w:val="00853195"/>
    <w:rsid w:val="00861495"/>
    <w:rsid w:val="00862CFF"/>
    <w:rsid w:val="00875C21"/>
    <w:rsid w:val="00886B6C"/>
    <w:rsid w:val="008A1E02"/>
    <w:rsid w:val="008A24DE"/>
    <w:rsid w:val="008B52D9"/>
    <w:rsid w:val="008C1937"/>
    <w:rsid w:val="008C7A4B"/>
    <w:rsid w:val="008E618A"/>
    <w:rsid w:val="008F1767"/>
    <w:rsid w:val="008F4B19"/>
    <w:rsid w:val="00901B96"/>
    <w:rsid w:val="009434EE"/>
    <w:rsid w:val="00954CA0"/>
    <w:rsid w:val="00955B37"/>
    <w:rsid w:val="009642E6"/>
    <w:rsid w:val="00970055"/>
    <w:rsid w:val="009845EB"/>
    <w:rsid w:val="00987745"/>
    <w:rsid w:val="00987B71"/>
    <w:rsid w:val="00993CB6"/>
    <w:rsid w:val="009B054A"/>
    <w:rsid w:val="009D39FD"/>
    <w:rsid w:val="009D5945"/>
    <w:rsid w:val="009E0D10"/>
    <w:rsid w:val="009E7373"/>
    <w:rsid w:val="009F0224"/>
    <w:rsid w:val="009F6FEB"/>
    <w:rsid w:val="00A0260B"/>
    <w:rsid w:val="00A0436F"/>
    <w:rsid w:val="00A13554"/>
    <w:rsid w:val="00A23D01"/>
    <w:rsid w:val="00A407B7"/>
    <w:rsid w:val="00A44F48"/>
    <w:rsid w:val="00A608F0"/>
    <w:rsid w:val="00A61B00"/>
    <w:rsid w:val="00A651F9"/>
    <w:rsid w:val="00A658FA"/>
    <w:rsid w:val="00A700F5"/>
    <w:rsid w:val="00A7382C"/>
    <w:rsid w:val="00A979A1"/>
    <w:rsid w:val="00AB0BC5"/>
    <w:rsid w:val="00AB23A7"/>
    <w:rsid w:val="00AB795A"/>
    <w:rsid w:val="00AC2784"/>
    <w:rsid w:val="00AC45E0"/>
    <w:rsid w:val="00AC48CA"/>
    <w:rsid w:val="00AD05CD"/>
    <w:rsid w:val="00AD34A0"/>
    <w:rsid w:val="00AD7199"/>
    <w:rsid w:val="00AD7331"/>
    <w:rsid w:val="00AE2495"/>
    <w:rsid w:val="00B03B83"/>
    <w:rsid w:val="00B132C4"/>
    <w:rsid w:val="00B20DDB"/>
    <w:rsid w:val="00B37646"/>
    <w:rsid w:val="00B41782"/>
    <w:rsid w:val="00B45B85"/>
    <w:rsid w:val="00B617E7"/>
    <w:rsid w:val="00B640DB"/>
    <w:rsid w:val="00B82E08"/>
    <w:rsid w:val="00B83E63"/>
    <w:rsid w:val="00B93586"/>
    <w:rsid w:val="00B93C60"/>
    <w:rsid w:val="00BB71DC"/>
    <w:rsid w:val="00BC7609"/>
    <w:rsid w:val="00BD1DF3"/>
    <w:rsid w:val="00BD2A03"/>
    <w:rsid w:val="00BD624F"/>
    <w:rsid w:val="00BE1AB0"/>
    <w:rsid w:val="00BE40C4"/>
    <w:rsid w:val="00BE53D4"/>
    <w:rsid w:val="00BE57C4"/>
    <w:rsid w:val="00BF1151"/>
    <w:rsid w:val="00C0042A"/>
    <w:rsid w:val="00C00589"/>
    <w:rsid w:val="00C06391"/>
    <w:rsid w:val="00C07EA1"/>
    <w:rsid w:val="00C142D8"/>
    <w:rsid w:val="00C54541"/>
    <w:rsid w:val="00C624DB"/>
    <w:rsid w:val="00C72A48"/>
    <w:rsid w:val="00C761D2"/>
    <w:rsid w:val="00C777C3"/>
    <w:rsid w:val="00C80E9E"/>
    <w:rsid w:val="00C925AC"/>
    <w:rsid w:val="00C964ED"/>
    <w:rsid w:val="00CB06AF"/>
    <w:rsid w:val="00CD2925"/>
    <w:rsid w:val="00CD52A9"/>
    <w:rsid w:val="00CD6B0E"/>
    <w:rsid w:val="00CE01FF"/>
    <w:rsid w:val="00CE0896"/>
    <w:rsid w:val="00CF1D47"/>
    <w:rsid w:val="00D0028C"/>
    <w:rsid w:val="00D12454"/>
    <w:rsid w:val="00D126CC"/>
    <w:rsid w:val="00D1655D"/>
    <w:rsid w:val="00D568A0"/>
    <w:rsid w:val="00D57C73"/>
    <w:rsid w:val="00D65688"/>
    <w:rsid w:val="00D71904"/>
    <w:rsid w:val="00D75F50"/>
    <w:rsid w:val="00DB2BC8"/>
    <w:rsid w:val="00DB3A20"/>
    <w:rsid w:val="00DC5994"/>
    <w:rsid w:val="00DC788C"/>
    <w:rsid w:val="00DE1ECB"/>
    <w:rsid w:val="00DE5F76"/>
    <w:rsid w:val="00E03E36"/>
    <w:rsid w:val="00E17572"/>
    <w:rsid w:val="00E2346C"/>
    <w:rsid w:val="00E36FD4"/>
    <w:rsid w:val="00E53BDF"/>
    <w:rsid w:val="00E62507"/>
    <w:rsid w:val="00E641C1"/>
    <w:rsid w:val="00E66955"/>
    <w:rsid w:val="00E67F1F"/>
    <w:rsid w:val="00E77C47"/>
    <w:rsid w:val="00E85308"/>
    <w:rsid w:val="00E872F8"/>
    <w:rsid w:val="00E92BDE"/>
    <w:rsid w:val="00EB76BB"/>
    <w:rsid w:val="00EC17D1"/>
    <w:rsid w:val="00EC1DDF"/>
    <w:rsid w:val="00ED5C6D"/>
    <w:rsid w:val="00ED6802"/>
    <w:rsid w:val="00EE42A2"/>
    <w:rsid w:val="00EE54B8"/>
    <w:rsid w:val="00EF0011"/>
    <w:rsid w:val="00EF254D"/>
    <w:rsid w:val="00EF66FB"/>
    <w:rsid w:val="00F06B83"/>
    <w:rsid w:val="00F11EFD"/>
    <w:rsid w:val="00F1354A"/>
    <w:rsid w:val="00F22490"/>
    <w:rsid w:val="00F235B4"/>
    <w:rsid w:val="00F235CC"/>
    <w:rsid w:val="00F365C2"/>
    <w:rsid w:val="00F40660"/>
    <w:rsid w:val="00F47382"/>
    <w:rsid w:val="00F50B13"/>
    <w:rsid w:val="00F5315F"/>
    <w:rsid w:val="00F63EEB"/>
    <w:rsid w:val="00F67A17"/>
    <w:rsid w:val="00F8680E"/>
    <w:rsid w:val="00F90E07"/>
    <w:rsid w:val="00FB7B15"/>
    <w:rsid w:val="00FC37B1"/>
    <w:rsid w:val="00FC741E"/>
    <w:rsid w:val="00FC7793"/>
    <w:rsid w:val="00FE6E27"/>
    <w:rsid w:val="00FE7FE9"/>
    <w:rsid w:val="00FF47C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C57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1F"/>
  </w:style>
  <w:style w:type="paragraph" w:styleId="Titre1">
    <w:name w:val="heading 1"/>
    <w:basedOn w:val="Normal"/>
    <w:next w:val="Normal"/>
    <w:link w:val="Titre1Car"/>
    <w:uiPriority w:val="9"/>
    <w:qFormat/>
    <w:rsid w:val="006C1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DE5F76"/>
    <w:pPr>
      <w:tabs>
        <w:tab w:val="num" w:pos="720"/>
      </w:tabs>
      <w:spacing w:after="240"/>
      <w:ind w:left="720" w:hanging="360"/>
      <w:jc w:val="both"/>
      <w:outlineLvl w:val="1"/>
    </w:pPr>
    <w:rPr>
      <w:rFonts w:asciiTheme="minorHAnsi" w:hAnsiTheme="minorHAnsi"/>
      <w:color w:val="808080" w:themeColor="background1" w:themeShade="8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DE5F76"/>
    <w:pPr>
      <w:tabs>
        <w:tab w:val="clear" w:pos="720"/>
      </w:tabs>
      <w:ind w:left="1080"/>
      <w:outlineLvl w:val="2"/>
    </w:pPr>
    <w:rPr>
      <w:color w:val="7030A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1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C183A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6C183A"/>
    <w:rPr>
      <w:b/>
      <w:bCs/>
      <w:smallCaps/>
      <w:spacing w:val="5"/>
    </w:rPr>
  </w:style>
  <w:style w:type="character" w:customStyle="1" w:styleId="Titre2Car">
    <w:name w:val="Titre 2 Car"/>
    <w:basedOn w:val="Policepardfaut"/>
    <w:link w:val="Titre2"/>
    <w:uiPriority w:val="9"/>
    <w:rsid w:val="00DE5F76"/>
    <w:rPr>
      <w:rFonts w:eastAsiaTheme="majorEastAsia" w:cstheme="majorBidi"/>
      <w:b/>
      <w:bCs/>
      <w:color w:val="808080" w:themeColor="background1" w:themeShade="8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DE5F76"/>
    <w:rPr>
      <w:rFonts w:eastAsiaTheme="majorEastAsia" w:cstheme="majorBidi"/>
      <w:b/>
      <w:bCs/>
      <w:color w:val="7030A0"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DE5F76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DE5F76"/>
    <w:pPr>
      <w:tabs>
        <w:tab w:val="right" w:leader="dot" w:pos="850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E5F76"/>
    <w:rPr>
      <w:rFonts w:ascii="Times New Roman" w:eastAsia="Times New Roman" w:hAnsi="Times New Roman" w:cs="Times New Roman"/>
      <w:sz w:val="32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77EC"/>
  </w:style>
  <w:style w:type="paragraph" w:styleId="Pieddepage">
    <w:name w:val="footer"/>
    <w:basedOn w:val="Normal"/>
    <w:link w:val="PieddepageCar"/>
    <w:uiPriority w:val="99"/>
    <w:unhideWhenUsed/>
    <w:rsid w:val="001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7EC"/>
  </w:style>
  <w:style w:type="paragraph" w:styleId="Textedebulles">
    <w:name w:val="Balloon Text"/>
    <w:basedOn w:val="Normal"/>
    <w:link w:val="TextedebullesCar"/>
    <w:uiPriority w:val="99"/>
    <w:semiHidden/>
    <w:unhideWhenUsed/>
    <w:rsid w:val="001E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EC"/>
    <w:rPr>
      <w:rFonts w:ascii="Tahoma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581C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1C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1C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1C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1CD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A608F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608F0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A608F0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D6B0E"/>
  </w:style>
  <w:style w:type="character" w:styleId="Lienhypertextesuivi">
    <w:name w:val="FollowedHyperlink"/>
    <w:basedOn w:val="Policepardfaut"/>
    <w:uiPriority w:val="99"/>
    <w:semiHidden/>
    <w:unhideWhenUsed/>
    <w:rsid w:val="006F4F56"/>
    <w:rPr>
      <w:color w:val="800080" w:themeColor="followedHyperlink"/>
      <w:u w:val="single"/>
    </w:rPr>
  </w:style>
  <w:style w:type="paragraph" w:customStyle="1" w:styleId="Style1">
    <w:name w:val="Style1"/>
    <w:next w:val="Titre3"/>
    <w:link w:val="Style1Car"/>
    <w:qFormat/>
    <w:rsid w:val="007D7081"/>
    <w:pPr>
      <w:numPr>
        <w:ilvl w:val="3"/>
        <w:numId w:val="16"/>
      </w:numPr>
      <w:contextualSpacing/>
      <w:jc w:val="both"/>
    </w:pPr>
    <w:rPr>
      <w:rFonts w:ascii="Calibri" w:eastAsia="Calibri" w:hAnsi="Calibri" w:cs="Times New Roman"/>
      <w:sz w:val="20"/>
      <w:szCs w:val="20"/>
      <w:u w:val="single"/>
      <w:lang w:val="x-none" w:eastAsia="x-none"/>
    </w:rPr>
  </w:style>
  <w:style w:type="character" w:customStyle="1" w:styleId="Style1Car">
    <w:name w:val="Style1 Car"/>
    <w:link w:val="Style1"/>
    <w:rsid w:val="007D7081"/>
    <w:rPr>
      <w:rFonts w:ascii="Calibri" w:eastAsia="Calibri" w:hAnsi="Calibri" w:cs="Times New Roman"/>
      <w:sz w:val="20"/>
      <w:szCs w:val="20"/>
      <w:u w:val="single"/>
      <w:lang w:val="x-none" w:eastAsia="x-none"/>
    </w:rPr>
  </w:style>
  <w:style w:type="table" w:styleId="Tramecouleur-Accent3">
    <w:name w:val="Colorful Shading Accent 3"/>
    <w:basedOn w:val="TableauNormal"/>
    <w:uiPriority w:val="71"/>
    <w:rsid w:val="007D70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1F"/>
  </w:style>
  <w:style w:type="paragraph" w:styleId="Titre1">
    <w:name w:val="heading 1"/>
    <w:basedOn w:val="Normal"/>
    <w:next w:val="Normal"/>
    <w:link w:val="Titre1Car"/>
    <w:uiPriority w:val="9"/>
    <w:qFormat/>
    <w:rsid w:val="006C1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DE5F76"/>
    <w:pPr>
      <w:tabs>
        <w:tab w:val="num" w:pos="720"/>
      </w:tabs>
      <w:spacing w:after="240"/>
      <w:ind w:left="720" w:hanging="360"/>
      <w:jc w:val="both"/>
      <w:outlineLvl w:val="1"/>
    </w:pPr>
    <w:rPr>
      <w:rFonts w:asciiTheme="minorHAnsi" w:hAnsiTheme="minorHAnsi"/>
      <w:color w:val="808080" w:themeColor="background1" w:themeShade="8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DE5F76"/>
    <w:pPr>
      <w:tabs>
        <w:tab w:val="clear" w:pos="720"/>
      </w:tabs>
      <w:ind w:left="1080"/>
      <w:outlineLvl w:val="2"/>
    </w:pPr>
    <w:rPr>
      <w:color w:val="7030A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1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C183A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6C183A"/>
    <w:rPr>
      <w:b/>
      <w:bCs/>
      <w:smallCaps/>
      <w:spacing w:val="5"/>
    </w:rPr>
  </w:style>
  <w:style w:type="character" w:customStyle="1" w:styleId="Titre2Car">
    <w:name w:val="Titre 2 Car"/>
    <w:basedOn w:val="Policepardfaut"/>
    <w:link w:val="Titre2"/>
    <w:uiPriority w:val="9"/>
    <w:rsid w:val="00DE5F76"/>
    <w:rPr>
      <w:rFonts w:eastAsiaTheme="majorEastAsia" w:cstheme="majorBidi"/>
      <w:b/>
      <w:bCs/>
      <w:color w:val="808080" w:themeColor="background1" w:themeShade="8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DE5F76"/>
    <w:rPr>
      <w:rFonts w:eastAsiaTheme="majorEastAsia" w:cstheme="majorBidi"/>
      <w:b/>
      <w:bCs/>
      <w:color w:val="7030A0"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DE5F76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DE5F76"/>
    <w:pPr>
      <w:tabs>
        <w:tab w:val="right" w:leader="dot" w:pos="850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E5F76"/>
    <w:rPr>
      <w:rFonts w:ascii="Times New Roman" w:eastAsia="Times New Roman" w:hAnsi="Times New Roman" w:cs="Times New Roman"/>
      <w:sz w:val="32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77EC"/>
  </w:style>
  <w:style w:type="paragraph" w:styleId="Pieddepage">
    <w:name w:val="footer"/>
    <w:basedOn w:val="Normal"/>
    <w:link w:val="PieddepageCar"/>
    <w:uiPriority w:val="99"/>
    <w:unhideWhenUsed/>
    <w:rsid w:val="001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7EC"/>
  </w:style>
  <w:style w:type="paragraph" w:styleId="Textedebulles">
    <w:name w:val="Balloon Text"/>
    <w:basedOn w:val="Normal"/>
    <w:link w:val="TextedebullesCar"/>
    <w:uiPriority w:val="99"/>
    <w:semiHidden/>
    <w:unhideWhenUsed/>
    <w:rsid w:val="001E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EC"/>
    <w:rPr>
      <w:rFonts w:ascii="Tahoma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581C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1C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1C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1C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1CD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A608F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608F0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A608F0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D6B0E"/>
  </w:style>
  <w:style w:type="character" w:styleId="Lienhypertextesuivi">
    <w:name w:val="FollowedHyperlink"/>
    <w:basedOn w:val="Policepardfaut"/>
    <w:uiPriority w:val="99"/>
    <w:semiHidden/>
    <w:unhideWhenUsed/>
    <w:rsid w:val="006F4F56"/>
    <w:rPr>
      <w:color w:val="800080" w:themeColor="followedHyperlink"/>
      <w:u w:val="single"/>
    </w:rPr>
  </w:style>
  <w:style w:type="paragraph" w:customStyle="1" w:styleId="Style1">
    <w:name w:val="Style1"/>
    <w:next w:val="Titre3"/>
    <w:link w:val="Style1Car"/>
    <w:qFormat/>
    <w:rsid w:val="007D7081"/>
    <w:pPr>
      <w:numPr>
        <w:ilvl w:val="3"/>
        <w:numId w:val="16"/>
      </w:numPr>
      <w:contextualSpacing/>
      <w:jc w:val="both"/>
    </w:pPr>
    <w:rPr>
      <w:rFonts w:ascii="Calibri" w:eastAsia="Calibri" w:hAnsi="Calibri" w:cs="Times New Roman"/>
      <w:sz w:val="20"/>
      <w:szCs w:val="20"/>
      <w:u w:val="single"/>
      <w:lang w:val="x-none" w:eastAsia="x-none"/>
    </w:rPr>
  </w:style>
  <w:style w:type="character" w:customStyle="1" w:styleId="Style1Car">
    <w:name w:val="Style1 Car"/>
    <w:link w:val="Style1"/>
    <w:rsid w:val="007D7081"/>
    <w:rPr>
      <w:rFonts w:ascii="Calibri" w:eastAsia="Calibri" w:hAnsi="Calibri" w:cs="Times New Roman"/>
      <w:sz w:val="20"/>
      <w:szCs w:val="20"/>
      <w:u w:val="single"/>
      <w:lang w:val="x-none" w:eastAsia="x-none"/>
    </w:rPr>
  </w:style>
  <w:style w:type="table" w:styleId="Tramecouleur-Accent3">
    <w:name w:val="Colorful Shading Accent 3"/>
    <w:basedOn w:val="TableauNormal"/>
    <w:uiPriority w:val="71"/>
    <w:rsid w:val="007D70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image" Target="media/image2.png"/><Relationship Id="rId13" Type="http://schemas.openxmlformats.org/officeDocument/2006/relationships/hyperlink" Target="http://geoportail.oeil.nc/cartenvironnement/" TargetMode="External"/><Relationship Id="rId14" Type="http://schemas.openxmlformats.org/officeDocument/2006/relationships/hyperlink" Target="mailto:matthieu.juncker@oeil.nc" TargetMode="External"/><Relationship Id="rId15" Type="http://schemas.openxmlformats.org/officeDocument/2006/relationships/hyperlink" Target="mailto:matthieu.juncker@oeil.nc" TargetMode="Externa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oeil.nc" TargetMode="External"/><Relationship Id="rId10" Type="http://schemas.openxmlformats.org/officeDocument/2006/relationships/hyperlink" Target="http://www.oeil.nc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eil.nc/cdrn/index.php/resource/bibliographie/view/5618" TargetMode="External"/><Relationship Id="rId2" Type="http://schemas.openxmlformats.org/officeDocument/2006/relationships/hyperlink" Target="http://www.oeil.nc/cdrn/index.php/resource/bibliographie/view/5688" TargetMode="External"/><Relationship Id="rId3" Type="http://schemas.openxmlformats.org/officeDocument/2006/relationships/hyperlink" Target="http://www.oeil.nc/cdrn/index.php/resource/bibliographie/view/568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E99C-B3B4-8B4F-BDD8-0C250F47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2375</Words>
  <Characters>13067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 BERTAUD</dc:creator>
  <cp:lastModifiedBy>Matthieu JUNCKER</cp:lastModifiedBy>
  <cp:revision>5</cp:revision>
  <dcterms:created xsi:type="dcterms:W3CDTF">2014-09-18T05:51:00Z</dcterms:created>
  <dcterms:modified xsi:type="dcterms:W3CDTF">2014-09-18T06:14:00Z</dcterms:modified>
</cp:coreProperties>
</file>